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CBCA" w14:textId="2D760F3F" w:rsidR="002507AB" w:rsidRDefault="0060646D" w:rsidP="00014F8E">
      <w:pPr>
        <w:pStyle w:val="Heading1"/>
      </w:pPr>
      <w:r>
        <w:t xml:space="preserve">Study Guide – </w:t>
      </w:r>
      <w:r w:rsidR="00E2287C">
        <w:t>Louisiana Adjudication</w:t>
      </w:r>
      <w:bookmarkStart w:id="0" w:name="_GoBack"/>
      <w:bookmarkEnd w:id="0"/>
      <w:r w:rsidR="00E2287C">
        <w:t>s - Wooley and Bonvillian</w:t>
      </w:r>
    </w:p>
    <w:p w14:paraId="4402E4A0" w14:textId="77777777" w:rsidR="007A4B07" w:rsidRPr="002E5DB5" w:rsidRDefault="007A4B07" w:rsidP="007A4B07">
      <w:pPr>
        <w:pStyle w:val="Heading2"/>
      </w:pPr>
      <w:r w:rsidRPr="002E5DB5">
        <w:t>State Separation of Powers</w:t>
      </w:r>
    </w:p>
    <w:p w14:paraId="3E09B91F" w14:textId="134E81FA" w:rsidR="007A4B07" w:rsidRDefault="00C25F83" w:rsidP="007A4B07">
      <w:pPr>
        <w:pStyle w:val="Heading3"/>
      </w:pPr>
      <w:r>
        <w:t>Does the US Constitutional rule on separation of powers apply to the states?</w:t>
      </w:r>
    </w:p>
    <w:p w14:paraId="45DD0905" w14:textId="7ED53D84" w:rsidR="00C25F83" w:rsidRPr="002E5DB5" w:rsidRDefault="00C25F83" w:rsidP="007A4B07">
      <w:pPr>
        <w:pStyle w:val="Heading3"/>
      </w:pPr>
      <w:r>
        <w:t>How does separation of powers and branches of government in Louisiana differ from the federal model?</w:t>
      </w:r>
    </w:p>
    <w:p w14:paraId="160FC2CA" w14:textId="4400F684" w:rsidR="007A4B07" w:rsidRPr="002E5DB5" w:rsidRDefault="007A4B07" w:rsidP="007A4B07">
      <w:pPr>
        <w:pStyle w:val="Heading3"/>
      </w:pPr>
      <w:r w:rsidRPr="002E5DB5">
        <w:t xml:space="preserve">How does the </w:t>
      </w:r>
      <w:r>
        <w:t xml:space="preserve">position </w:t>
      </w:r>
      <w:r w:rsidRPr="002E5DB5">
        <w:t xml:space="preserve">of Attorney General of Louisiana differ from the Attorney General of the United States as </w:t>
      </w:r>
      <w:r w:rsidR="00C25F83">
        <w:t xml:space="preserve">it </w:t>
      </w:r>
      <w:r w:rsidRPr="002E5DB5">
        <w:t>relates to separation of powers?</w:t>
      </w:r>
    </w:p>
    <w:p w14:paraId="75B081C4" w14:textId="77777777" w:rsidR="007A4B07" w:rsidRPr="002E5DB5" w:rsidRDefault="007A4B07" w:rsidP="007A4B07">
      <w:pPr>
        <w:pStyle w:val="Heading3"/>
      </w:pPr>
      <w:r w:rsidRPr="002E5DB5">
        <w:t>What is a central panel model for ALJs?</w:t>
      </w:r>
    </w:p>
    <w:p w14:paraId="0F6F39DC" w14:textId="77777777" w:rsidR="007A4B07" w:rsidRPr="002E5DB5" w:rsidRDefault="007A4B07" w:rsidP="007A4B07">
      <w:pPr>
        <w:pStyle w:val="Heading3"/>
      </w:pPr>
      <w:r w:rsidRPr="002E5DB5">
        <w:t>What are pros and cons of a central panel model?</w:t>
      </w:r>
    </w:p>
    <w:p w14:paraId="390B77ED" w14:textId="77777777" w:rsidR="007A4B07" w:rsidRDefault="007A4B07" w:rsidP="007A4B07">
      <w:pPr>
        <w:pStyle w:val="Heading3"/>
      </w:pPr>
      <w:r>
        <w:t xml:space="preserve">How does the DAL legislation change the relationship between the agency and the ALJ, i.e., how is the LA system now different from the Federal system? </w:t>
      </w:r>
    </w:p>
    <w:p w14:paraId="0804921F" w14:textId="77777777" w:rsidR="007A4B07" w:rsidRPr="00E42C40" w:rsidRDefault="007A4B07" w:rsidP="007A4B07">
      <w:pPr>
        <w:pStyle w:val="Heading2"/>
        <w:rPr>
          <w:i/>
        </w:rPr>
      </w:pPr>
      <w:r w:rsidRPr="00E42C40">
        <w:rPr>
          <w:i/>
        </w:rPr>
        <w:t>Wooley</w:t>
      </w:r>
    </w:p>
    <w:p w14:paraId="32666CA1" w14:textId="77777777" w:rsidR="007A4B07" w:rsidRDefault="007A4B07" w:rsidP="007A4B07">
      <w:pPr>
        <w:pStyle w:val="Heading3"/>
      </w:pPr>
      <w:r>
        <w:t xml:space="preserve">Before the DAL legislation, the ALJs were part of their constitute agencies. </w:t>
      </w:r>
    </w:p>
    <w:p w14:paraId="1E622D43" w14:textId="77777777" w:rsidR="007A4B07" w:rsidRDefault="007A4B07" w:rsidP="007A4B07">
      <w:pPr>
        <w:pStyle w:val="Heading4"/>
      </w:pPr>
      <w:r>
        <w:t xml:space="preserve">Who do they report to after the DAL legislation? </w:t>
      </w:r>
    </w:p>
    <w:p w14:paraId="376F35D6" w14:textId="77777777" w:rsidR="007A4B07" w:rsidRDefault="007A4B07" w:rsidP="007A4B07">
      <w:pPr>
        <w:pStyle w:val="Heading4"/>
      </w:pPr>
      <w:r>
        <w:t>Does this raise separation of powers issues?</w:t>
      </w:r>
    </w:p>
    <w:p w14:paraId="40712C0F" w14:textId="77777777" w:rsidR="007A4B07" w:rsidRDefault="007A4B07" w:rsidP="007A4B07">
      <w:pPr>
        <w:pStyle w:val="Heading3"/>
      </w:pPr>
      <w:r>
        <w:t>Louisiana created the central panel ALJs to reduce bias – what is the theory for why they would be less biased than agency ALJ?</w:t>
      </w:r>
    </w:p>
    <w:p w14:paraId="50B402B5" w14:textId="77777777" w:rsidR="007A4B07" w:rsidRDefault="007A4B07" w:rsidP="007A4B07">
      <w:pPr>
        <w:pStyle w:val="Heading3"/>
      </w:pPr>
      <w:r>
        <w:t>Louisiana is concerned about fairness to the regulated party – which party does this ignore?</w:t>
      </w:r>
    </w:p>
    <w:p w14:paraId="24D8A9A1" w14:textId="77777777" w:rsidR="007A4B07" w:rsidRPr="008F3B97" w:rsidRDefault="007A4B07" w:rsidP="007A4B07">
      <w:pPr>
        <w:pStyle w:val="Heading3"/>
      </w:pPr>
      <w:r>
        <w:t>Why is it especially hard to assure consistent policy in adjudications in LA?</w:t>
      </w:r>
    </w:p>
    <w:p w14:paraId="26F05118" w14:textId="77777777" w:rsidR="007A4B07" w:rsidRDefault="007A4B07" w:rsidP="007A4B07">
      <w:pPr>
        <w:pStyle w:val="Heading3"/>
      </w:pPr>
      <w:r>
        <w:t>Why does allowing the regulated party, but not the agency, to appeal the central panel ALJ’s decision reduce regulation?</w:t>
      </w:r>
    </w:p>
    <w:p w14:paraId="6C63C3C2" w14:textId="77777777" w:rsidR="007A4B07" w:rsidRDefault="007A4B07" w:rsidP="007A4B07">
      <w:pPr>
        <w:pStyle w:val="Heading3"/>
      </w:pPr>
      <w:r>
        <w:t>How are LA central panel ALJs more like Article III judges than are ALJs in the federal system?</w:t>
      </w:r>
    </w:p>
    <w:p w14:paraId="4A59D29A" w14:textId="77777777" w:rsidR="007A4B07" w:rsidRDefault="007A4B07" w:rsidP="007A4B07">
      <w:pPr>
        <w:pStyle w:val="Heading3"/>
      </w:pPr>
      <w:r>
        <w:t>How does having a central panel of ALJs, as in Louisiana, address separation of functions?</w:t>
      </w:r>
    </w:p>
    <w:p w14:paraId="72F131CA" w14:textId="77777777" w:rsidR="007A4B07" w:rsidRPr="002E5DB5" w:rsidRDefault="007A4B07" w:rsidP="007A4B07">
      <w:pPr>
        <w:pStyle w:val="Heading3"/>
      </w:pPr>
      <w:r w:rsidRPr="002E5DB5">
        <w:t xml:space="preserve">What is the separation of powers issue in the </w:t>
      </w:r>
      <w:r w:rsidRPr="00043E02">
        <w:rPr>
          <w:i/>
        </w:rPr>
        <w:t>Wooley</w:t>
      </w:r>
      <w:r w:rsidRPr="002E5DB5">
        <w:t xml:space="preserve"> case?</w:t>
      </w:r>
    </w:p>
    <w:p w14:paraId="2A0FF60A" w14:textId="6B4C1436" w:rsidR="007A4B07" w:rsidRDefault="007A4B07" w:rsidP="007A4B07">
      <w:pPr>
        <w:pStyle w:val="Heading3"/>
      </w:pPr>
      <w:r w:rsidRPr="002E5DB5">
        <w:t>What does the court say is the key attribute of an Article V judge?</w:t>
      </w:r>
    </w:p>
    <w:p w14:paraId="60B05539" w14:textId="4C627B80" w:rsidR="00EF33FB" w:rsidRPr="00EF33FB" w:rsidRDefault="00EF33FB" w:rsidP="00EF33FB">
      <w:pPr>
        <w:pStyle w:val="Heading3"/>
      </w:pPr>
      <w:r>
        <w:lastRenderedPageBreak/>
        <w:t>How is this informed by the worker compensation commission case?</w:t>
      </w:r>
    </w:p>
    <w:p w14:paraId="415EA796" w14:textId="4CCBCB16" w:rsidR="007A4B07" w:rsidRDefault="007A4B07" w:rsidP="00003F6C">
      <w:pPr>
        <w:pStyle w:val="Heading3"/>
      </w:pPr>
      <w:r w:rsidRPr="002E5DB5">
        <w:t>How did the LA SC explain why LA ALJs are not Article V judges and thus do not need to be elected?</w:t>
      </w:r>
    </w:p>
    <w:p w14:paraId="413AF949" w14:textId="36A56D39" w:rsidR="00EF33FB" w:rsidRPr="00EF33FB" w:rsidRDefault="00EF33FB" w:rsidP="00EF33FB">
      <w:pPr>
        <w:pStyle w:val="Heading3"/>
      </w:pPr>
      <w:r>
        <w:t>Why was the Insurance Commissioner unable to use a declaratory judgment to challenge the correctness of the ALJ’s decision?</w:t>
      </w:r>
    </w:p>
    <w:p w14:paraId="035570F9" w14:textId="17C29565" w:rsidR="00E86954" w:rsidRPr="00E86954" w:rsidRDefault="00E86954" w:rsidP="00E86954">
      <w:pPr>
        <w:pStyle w:val="Heading2"/>
        <w:rPr>
          <w:i/>
        </w:rPr>
      </w:pPr>
      <w:r>
        <w:rPr>
          <w:i/>
        </w:rPr>
        <w:t>Bonvillian</w:t>
      </w:r>
    </w:p>
    <w:p w14:paraId="426304F5" w14:textId="7E7916EE" w:rsidR="00E86954" w:rsidRDefault="00E86954" w:rsidP="00E86954">
      <w:pPr>
        <w:pStyle w:val="Heading3"/>
      </w:pPr>
      <w:r>
        <w:t xml:space="preserve">What issue </w:t>
      </w:r>
      <w:r>
        <w:rPr>
          <w:i/>
        </w:rPr>
        <w:t>Wooley</w:t>
      </w:r>
      <w:r>
        <w:t xml:space="preserve"> </w:t>
      </w:r>
      <w:r w:rsidR="00C25F83">
        <w:t xml:space="preserve">did </w:t>
      </w:r>
      <w:r>
        <w:t xml:space="preserve">leave unresolved that lead to the </w:t>
      </w:r>
      <w:r>
        <w:rPr>
          <w:i/>
        </w:rPr>
        <w:t>Bonvillian</w:t>
      </w:r>
      <w:r>
        <w:t xml:space="preserve"> cases?</w:t>
      </w:r>
    </w:p>
    <w:p w14:paraId="6BC1FCE6" w14:textId="77777777" w:rsidR="00E86954" w:rsidRDefault="00E86954" w:rsidP="00E86954">
      <w:pPr>
        <w:pStyle w:val="Heading3"/>
      </w:pPr>
      <w:r>
        <w:t>Why would State Farm hesitate to sell an insurance policy approved by an ALJ but not by the agency?</w:t>
      </w:r>
    </w:p>
    <w:p w14:paraId="0C0FF1DA" w14:textId="77777777" w:rsidR="00E86954" w:rsidRDefault="00E86954" w:rsidP="00E86954">
      <w:pPr>
        <w:pStyle w:val="Heading3"/>
      </w:pPr>
      <w:r>
        <w:t xml:space="preserve">What is an action for mandamus and what are its limitations? </w:t>
      </w:r>
    </w:p>
    <w:p w14:paraId="5ABDFA0E" w14:textId="77777777" w:rsidR="00E86954" w:rsidRDefault="00E86954" w:rsidP="00E86954">
      <w:pPr>
        <w:pStyle w:val="Heading3"/>
      </w:pPr>
      <w:r>
        <w:t xml:space="preserve">Why was mandamus denied in </w:t>
      </w:r>
      <w:r>
        <w:rPr>
          <w:i/>
        </w:rPr>
        <w:t>Bonvillian</w:t>
      </w:r>
      <w:r>
        <w:t xml:space="preserve"> </w:t>
      </w:r>
      <w:r>
        <w:rPr>
          <w:i/>
        </w:rPr>
        <w:t>I</w:t>
      </w:r>
      <w:r>
        <w:t>?</w:t>
      </w:r>
    </w:p>
    <w:p w14:paraId="452EDE53" w14:textId="77777777" w:rsidR="00E86954" w:rsidRDefault="00E86954" w:rsidP="00E86954">
      <w:pPr>
        <w:pStyle w:val="Heading3"/>
      </w:pPr>
      <w:r>
        <w:t xml:space="preserve">What legal action did petitioners successfully use to get his license in </w:t>
      </w:r>
      <w:r>
        <w:rPr>
          <w:i/>
        </w:rPr>
        <w:t>Bonvillian</w:t>
      </w:r>
      <w:r>
        <w:t xml:space="preserve"> </w:t>
      </w:r>
      <w:r>
        <w:rPr>
          <w:i/>
        </w:rPr>
        <w:t>II</w:t>
      </w:r>
      <w:r>
        <w:t>?</w:t>
      </w:r>
    </w:p>
    <w:p w14:paraId="5D4C1AC8" w14:textId="73E7F060" w:rsidR="00E86954" w:rsidRDefault="00E86954" w:rsidP="00E86954">
      <w:pPr>
        <w:pStyle w:val="Heading1"/>
      </w:pPr>
      <w:r>
        <w:t>End of Document</w:t>
      </w:r>
    </w:p>
    <w:sectPr w:rsidR="00E869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4CFB" w14:textId="77777777" w:rsidR="003C0CA4" w:rsidRDefault="003C0CA4" w:rsidP="0060646D">
      <w:pPr>
        <w:spacing w:after="0"/>
      </w:pPr>
      <w:r>
        <w:separator/>
      </w:r>
    </w:p>
  </w:endnote>
  <w:endnote w:type="continuationSeparator" w:id="0">
    <w:p w14:paraId="0881E65B" w14:textId="77777777" w:rsidR="003C0CA4" w:rsidRDefault="003C0CA4" w:rsidP="00606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23E1" w14:textId="77777777" w:rsidR="003C0CA4" w:rsidRDefault="003C0CA4" w:rsidP="0060646D">
      <w:pPr>
        <w:spacing w:after="0"/>
      </w:pPr>
      <w:r>
        <w:separator/>
      </w:r>
    </w:p>
  </w:footnote>
  <w:footnote w:type="continuationSeparator" w:id="0">
    <w:p w14:paraId="7133CC2A" w14:textId="77777777" w:rsidR="003C0CA4" w:rsidRDefault="003C0CA4" w:rsidP="006064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A64B" w14:textId="3EB77B97" w:rsidR="0060646D" w:rsidRDefault="0060646D">
    <w:pPr>
      <w:pStyle w:val="Header"/>
    </w:pPr>
    <w:r>
      <w:t xml:space="preserve">Administrative Law </w:t>
    </w:r>
    <w:r>
      <w:t xml:space="preserve">(LSU Law 5402) </w:t>
    </w:r>
    <w:r>
      <w:t xml:space="preserve">– Richards -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EEFB866-4178-4A6B-A326-23B7D3DD9781}"/>
    <w:docVar w:name="dgnword-eventsink" w:val="2341728832800"/>
  </w:docVars>
  <w:rsids>
    <w:rsidRoot w:val="00D95C30"/>
    <w:rsid w:val="00003F6C"/>
    <w:rsid w:val="00014F8E"/>
    <w:rsid w:val="00031667"/>
    <w:rsid w:val="001559E9"/>
    <w:rsid w:val="001A7F53"/>
    <w:rsid w:val="001C19E4"/>
    <w:rsid w:val="00201548"/>
    <w:rsid w:val="002507AB"/>
    <w:rsid w:val="00323344"/>
    <w:rsid w:val="003C0CA4"/>
    <w:rsid w:val="003C6685"/>
    <w:rsid w:val="00463575"/>
    <w:rsid w:val="004C74E9"/>
    <w:rsid w:val="0058232F"/>
    <w:rsid w:val="0059457B"/>
    <w:rsid w:val="0060646D"/>
    <w:rsid w:val="00622962"/>
    <w:rsid w:val="006963B2"/>
    <w:rsid w:val="00696455"/>
    <w:rsid w:val="00736694"/>
    <w:rsid w:val="0079722B"/>
    <w:rsid w:val="007A4B07"/>
    <w:rsid w:val="008A6C57"/>
    <w:rsid w:val="008D7B47"/>
    <w:rsid w:val="009C255A"/>
    <w:rsid w:val="009C77C4"/>
    <w:rsid w:val="009E45E9"/>
    <w:rsid w:val="00A11FC6"/>
    <w:rsid w:val="00BC4A4C"/>
    <w:rsid w:val="00BD4FC3"/>
    <w:rsid w:val="00C20B4D"/>
    <w:rsid w:val="00C25F83"/>
    <w:rsid w:val="00D828B7"/>
    <w:rsid w:val="00D85A95"/>
    <w:rsid w:val="00D95C30"/>
    <w:rsid w:val="00DC0207"/>
    <w:rsid w:val="00E2287C"/>
    <w:rsid w:val="00E42C40"/>
    <w:rsid w:val="00E72506"/>
    <w:rsid w:val="00E737AD"/>
    <w:rsid w:val="00E86954"/>
    <w:rsid w:val="00EF33FB"/>
    <w:rsid w:val="00F549B9"/>
    <w:rsid w:val="00F66D78"/>
    <w:rsid w:val="00F70EFC"/>
    <w:rsid w:val="00F87737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4F77"/>
  <w15:docId w15:val="{95C31A12-697C-422B-A97F-8ED64A9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28B7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D828B7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D828B7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D828B7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D828B7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D828B7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D828B7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D828B7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D828B7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D828B7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828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28B7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D828B7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D828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828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D828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828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D828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828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828B7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828B7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D828B7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D828B7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D828B7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D828B7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D828B7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D828B7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D828B7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D828B7"/>
    <w:rPr>
      <w:vanish/>
    </w:rPr>
  </w:style>
  <w:style w:type="paragraph" w:customStyle="1" w:styleId="Bodytext-Quote">
    <w:name w:val="Body text - Quote"/>
    <w:basedOn w:val="BodyText"/>
    <w:rsid w:val="00D828B7"/>
    <w:pPr>
      <w:ind w:left="720" w:right="720"/>
    </w:pPr>
  </w:style>
  <w:style w:type="paragraph" w:customStyle="1" w:styleId="basefont">
    <w:name w:val="base font"/>
    <w:next w:val="BodyText"/>
    <w:rsid w:val="00D828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D828B7"/>
  </w:style>
  <w:style w:type="paragraph" w:customStyle="1" w:styleId="MMTitle">
    <w:name w:val="MM Title"/>
    <w:basedOn w:val="Title"/>
    <w:rsid w:val="00D828B7"/>
  </w:style>
  <w:style w:type="paragraph" w:styleId="Title">
    <w:name w:val="Title"/>
    <w:basedOn w:val="Normal"/>
    <w:link w:val="TitleChar"/>
    <w:qFormat/>
    <w:rsid w:val="00D828B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28B7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D828B7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D828B7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D828B7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D8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828B7"/>
    <w:rPr>
      <w:i/>
      <w:iCs/>
    </w:rPr>
  </w:style>
  <w:style w:type="paragraph" w:customStyle="1" w:styleId="FootnoteForm">
    <w:name w:val="Footnote Form"/>
    <w:basedOn w:val="Normal"/>
    <w:rsid w:val="00D828B7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D828B7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D828B7"/>
    <w:pPr>
      <w:ind w:left="240" w:hanging="240"/>
    </w:pPr>
  </w:style>
  <w:style w:type="paragraph" w:styleId="Index2">
    <w:name w:val="index 2"/>
    <w:basedOn w:val="Normal"/>
    <w:next w:val="Normal"/>
    <w:autoRedefine/>
    <w:rsid w:val="00D828B7"/>
    <w:pPr>
      <w:ind w:left="480" w:hanging="240"/>
    </w:pPr>
  </w:style>
  <w:style w:type="paragraph" w:styleId="Index3">
    <w:name w:val="index 3"/>
    <w:basedOn w:val="Normal"/>
    <w:next w:val="Normal"/>
    <w:autoRedefine/>
    <w:rsid w:val="00D828B7"/>
    <w:pPr>
      <w:ind w:left="720" w:hanging="240"/>
    </w:pPr>
  </w:style>
  <w:style w:type="paragraph" w:styleId="Index4">
    <w:name w:val="index 4"/>
    <w:basedOn w:val="Normal"/>
    <w:next w:val="Normal"/>
    <w:autoRedefine/>
    <w:rsid w:val="00D828B7"/>
    <w:pPr>
      <w:ind w:left="960" w:hanging="240"/>
    </w:pPr>
  </w:style>
  <w:style w:type="paragraph" w:styleId="Index5">
    <w:name w:val="index 5"/>
    <w:basedOn w:val="Normal"/>
    <w:next w:val="Normal"/>
    <w:autoRedefine/>
    <w:rsid w:val="00D828B7"/>
    <w:pPr>
      <w:ind w:left="1200" w:hanging="240"/>
    </w:pPr>
  </w:style>
  <w:style w:type="paragraph" w:styleId="Index6">
    <w:name w:val="index 6"/>
    <w:basedOn w:val="Normal"/>
    <w:next w:val="Normal"/>
    <w:autoRedefine/>
    <w:rsid w:val="00D828B7"/>
    <w:pPr>
      <w:ind w:left="1440" w:hanging="240"/>
    </w:pPr>
  </w:style>
  <w:style w:type="paragraph" w:styleId="Index7">
    <w:name w:val="index 7"/>
    <w:basedOn w:val="Normal"/>
    <w:next w:val="Normal"/>
    <w:autoRedefine/>
    <w:rsid w:val="00D828B7"/>
    <w:pPr>
      <w:ind w:left="1680" w:hanging="240"/>
    </w:pPr>
  </w:style>
  <w:style w:type="paragraph" w:styleId="Index8">
    <w:name w:val="index 8"/>
    <w:basedOn w:val="Normal"/>
    <w:next w:val="Normal"/>
    <w:autoRedefine/>
    <w:rsid w:val="00D828B7"/>
    <w:pPr>
      <w:ind w:left="1920" w:hanging="240"/>
    </w:pPr>
  </w:style>
  <w:style w:type="paragraph" w:styleId="Index9">
    <w:name w:val="index 9"/>
    <w:basedOn w:val="Normal"/>
    <w:next w:val="Normal"/>
    <w:autoRedefine/>
    <w:rsid w:val="00D828B7"/>
    <w:pPr>
      <w:ind w:left="2160" w:hanging="240"/>
    </w:pPr>
  </w:style>
  <w:style w:type="paragraph" w:styleId="IndexHeading">
    <w:name w:val="index heading"/>
    <w:basedOn w:val="Normal"/>
    <w:next w:val="Index1"/>
    <w:rsid w:val="00D828B7"/>
    <w:rPr>
      <w:rFonts w:ascii="Arial" w:hAnsi="Arial" w:cs="Arial"/>
      <w:b/>
      <w:bCs/>
    </w:rPr>
  </w:style>
  <w:style w:type="paragraph" w:styleId="NormalWeb">
    <w:name w:val="Normal (Web)"/>
    <w:basedOn w:val="Normal"/>
    <w:rsid w:val="00D828B7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D828B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D828B7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D828B7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828B7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D828B7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D828B7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D828B7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D828B7"/>
    <w:pPr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6064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646D"/>
    <w:rPr>
      <w:rFonts w:ascii="Times New Roman" w:eastAsia="Times New Roman" w:hAnsi="Times New Roman" w:cs="Courier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4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646D"/>
    <w:rPr>
      <w:rFonts w:ascii="Times New Roman" w:eastAsia="Times New Roman" w:hAnsi="Times New Roman" w:cs="Courie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Richards</dc:creator>
  <cp:lastModifiedBy>Edward P Richards</cp:lastModifiedBy>
  <cp:revision>5</cp:revision>
  <dcterms:created xsi:type="dcterms:W3CDTF">2019-11-05T02:09:00Z</dcterms:created>
  <dcterms:modified xsi:type="dcterms:W3CDTF">2020-11-15T18:11:00Z</dcterms:modified>
</cp:coreProperties>
</file>