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3B2" w:rsidRDefault="00B4717E" w:rsidP="00B4717E">
      <w:pPr>
        <w:pStyle w:val="Heading1"/>
      </w:pPr>
      <w:r w:rsidRPr="00B4717E">
        <w:t>Judicial Review of Facts</w:t>
      </w:r>
      <w:r w:rsidR="00EA6467">
        <w:t xml:space="preserve"> - </w:t>
      </w:r>
      <w:r w:rsidR="00EA6467" w:rsidRPr="00EA6467">
        <w:t>Arbitrary and Capricious Review</w:t>
      </w:r>
    </w:p>
    <w:p w:rsidR="001A7F53" w:rsidRDefault="001A7F53" w:rsidP="0079722B">
      <w:pPr>
        <w:pStyle w:val="Heading1"/>
      </w:pPr>
      <w:r>
        <w:t>Learning Objectives for this Module</w:t>
      </w:r>
    </w:p>
    <w:p w:rsidR="00BA241B" w:rsidRDefault="00BA241B" w:rsidP="0079722B">
      <w:pPr>
        <w:pStyle w:val="Heading2"/>
      </w:pPr>
      <w:r>
        <w:t>Learn how arbitrary and capricious review has the same practical effect as substantial evidence review.</w:t>
      </w:r>
    </w:p>
    <w:p w:rsidR="00BA241B" w:rsidRDefault="00BA241B" w:rsidP="0079722B">
      <w:pPr>
        <w:pStyle w:val="Heading2"/>
      </w:pPr>
      <w:r>
        <w:t>Learn how arbitrary and capricious review has become a review of the adequacy of the record supporting the decision.</w:t>
      </w:r>
    </w:p>
    <w:p w:rsidR="00BA241B" w:rsidRDefault="00BA241B" w:rsidP="0079722B">
      <w:pPr>
        <w:pStyle w:val="Heading2"/>
      </w:pPr>
      <w:r>
        <w:t>Learn how the courts have turned record review into “hard look” review.</w:t>
      </w:r>
    </w:p>
    <w:p w:rsidR="00D95C30" w:rsidRDefault="00D95C30" w:rsidP="0079722B">
      <w:pPr>
        <w:pStyle w:val="Heading1"/>
      </w:pPr>
      <w:r>
        <w:t>Reading Assignment</w:t>
      </w:r>
    </w:p>
    <w:p w:rsidR="0079722B" w:rsidRDefault="008E4CD1" w:rsidP="0079722B">
      <w:pPr>
        <w:pStyle w:val="Heading2"/>
      </w:pPr>
      <w:r>
        <w:t xml:space="preserve">Chapter 7 to 319 - </w:t>
      </w:r>
      <w:r w:rsidRPr="008E4CD1">
        <w:t>V. REVIEW OF AGENCY ACTION UNLAWFULLY WITHHELD OR UNREASONABLY DELAYED</w:t>
      </w:r>
      <w:bookmarkStart w:id="0" w:name="_GoBack"/>
      <w:bookmarkEnd w:id="0"/>
    </w:p>
    <w:p w:rsidR="00D95C30" w:rsidRDefault="00D95C30" w:rsidP="0079722B">
      <w:pPr>
        <w:pStyle w:val="Heading1"/>
      </w:pPr>
      <w:r>
        <w:t>Issues to be addressed</w:t>
      </w:r>
    </w:p>
    <w:p w:rsidR="001F1708" w:rsidRDefault="001F1708" w:rsidP="001F1708">
      <w:pPr>
        <w:pStyle w:val="Heading2"/>
      </w:pPr>
      <w:r>
        <w:t>706(2</w:t>
      </w:r>
      <w:proofErr w:type="gramStart"/>
      <w:r>
        <w:t>)(</w:t>
      </w:r>
      <w:proofErr w:type="gramEnd"/>
      <w:r>
        <w:t>a)</w:t>
      </w:r>
    </w:p>
    <w:p w:rsidR="001F1708" w:rsidRDefault="001F1708" w:rsidP="001F1708">
      <w:pPr>
        <w:pStyle w:val="Heading3"/>
      </w:pPr>
      <w:r>
        <w:t>To the extent necessary to decision and when presented, the reviewing court shall decide all relevant questions of law, interpret constitutional and statutory provisions, and determine the meaning or applicability of the terms of an agency action. The reviewing court shall—</w:t>
      </w:r>
    </w:p>
    <w:p w:rsidR="001F1708" w:rsidRDefault="001F1708" w:rsidP="001F1708">
      <w:pPr>
        <w:pStyle w:val="Heading4"/>
      </w:pPr>
      <w:r>
        <w:t xml:space="preserve">(2) </w:t>
      </w:r>
      <w:proofErr w:type="gramStart"/>
      <w:r>
        <w:t>hold</w:t>
      </w:r>
      <w:proofErr w:type="gramEnd"/>
      <w:r>
        <w:t xml:space="preserve"> unlawful and set aside agency action, findings, and conclusions found to be—</w:t>
      </w:r>
    </w:p>
    <w:p w:rsidR="001F1708" w:rsidRDefault="001F1708" w:rsidP="001F1708">
      <w:pPr>
        <w:pStyle w:val="Heading5"/>
      </w:pPr>
      <w:r>
        <w:t>(A) arbitrary, capricious, an abuse of discretion, or otherwise not in accordance with law;</w:t>
      </w:r>
    </w:p>
    <w:p w:rsidR="00FB2169" w:rsidRPr="00B75FBF" w:rsidRDefault="006E3DD8" w:rsidP="00FB2169">
      <w:pPr>
        <w:pStyle w:val="Heading2"/>
      </w:pPr>
      <w:r>
        <w:t xml:space="preserve">What does </w:t>
      </w:r>
      <w:r w:rsidR="00FB2169" w:rsidRPr="00B75FBF">
        <w:t>Arbitrary and Capricious Review</w:t>
      </w:r>
      <w:r>
        <w:t xml:space="preserve"> mean as applied?</w:t>
      </w:r>
    </w:p>
    <w:p w:rsidR="00FB2169" w:rsidRPr="00B75FBF" w:rsidRDefault="00FB2169" w:rsidP="00FB2169">
      <w:pPr>
        <w:pStyle w:val="Heading3"/>
      </w:pPr>
      <w:r w:rsidRPr="00B75FBF">
        <w:t>Old definition</w:t>
      </w:r>
    </w:p>
    <w:p w:rsidR="00FB2169" w:rsidRPr="00B75FBF" w:rsidRDefault="00FB2169" w:rsidP="00FB2169">
      <w:pPr>
        <w:pStyle w:val="Heading4"/>
      </w:pPr>
      <w:r w:rsidRPr="00B75FBF">
        <w:t>Highly deferential to the agency</w:t>
      </w:r>
    </w:p>
    <w:p w:rsidR="00FB2169" w:rsidRPr="00B75FBF" w:rsidRDefault="00FB2169" w:rsidP="00FB2169">
      <w:pPr>
        <w:pStyle w:val="Heading4"/>
      </w:pPr>
      <w:r w:rsidRPr="00B75FBF">
        <w:t>Same as rational relationship test in constitutional law</w:t>
      </w:r>
      <w:r>
        <w:t xml:space="preserve">, which </w:t>
      </w:r>
      <w:proofErr w:type="gramStart"/>
      <w:r>
        <w:t>almost always</w:t>
      </w:r>
      <w:proofErr w:type="gramEnd"/>
      <w:r>
        <w:t xml:space="preserve"> results in the law being found constitutional. </w:t>
      </w:r>
    </w:p>
    <w:p w:rsidR="00FB2169" w:rsidRPr="00B75FBF" w:rsidRDefault="00FB2169" w:rsidP="00FB2169">
      <w:pPr>
        <w:pStyle w:val="Heading3"/>
      </w:pPr>
      <w:r w:rsidRPr="00B75FBF">
        <w:t xml:space="preserve">Citizens to Preserve Overton Park, Inc. v. Volpe, 401 U.S. 402 (1971) </w:t>
      </w:r>
    </w:p>
    <w:p w:rsidR="00FB2169" w:rsidRDefault="00FB2169" w:rsidP="00FB2169">
      <w:pPr>
        <w:pStyle w:val="Heading4"/>
      </w:pPr>
      <w:r>
        <w:t xml:space="preserve">This has been seen as the first modern administrative law case. It changed the focus from pure deference to the agency’s power to make the decision to whether the agency has properly supported its decision in the record. Thus the secretary had to show that he had considered the factors specified in the legislation on roads in parks – no reasonable and prudent alternative – before the court would </w:t>
      </w:r>
      <w:r>
        <w:lastRenderedPageBreak/>
        <w:t>defer to his decision that no other routes met the standard.</w:t>
      </w:r>
    </w:p>
    <w:p w:rsidR="00FB2169" w:rsidRPr="00B75FBF" w:rsidRDefault="00FB2169" w:rsidP="00FB2169">
      <w:pPr>
        <w:pStyle w:val="Heading4"/>
      </w:pPr>
      <w:r w:rsidRPr="00B75FBF">
        <w:t xml:space="preserve"> ‘‘a substantial inquiry,’’ ‘‘a thorough, probing, in-depth review, and [a] searching and careful [inquiry into the facts].’</w:t>
      </w:r>
    </w:p>
    <w:p w:rsidR="00A34BBC" w:rsidRPr="00B75FBF" w:rsidRDefault="00A34BBC" w:rsidP="00A34BBC">
      <w:pPr>
        <w:pStyle w:val="Heading2"/>
      </w:pPr>
      <w:r w:rsidRPr="00B75FBF">
        <w:t>When Should the Court Allow the Record to be supplemented by the Agency?</w:t>
      </w:r>
    </w:p>
    <w:p w:rsidR="00A34BBC" w:rsidRPr="00B75FBF" w:rsidRDefault="00A34BBC" w:rsidP="00A34BBC">
      <w:pPr>
        <w:pStyle w:val="Heading3"/>
      </w:pPr>
      <w:r w:rsidRPr="00B75FBF">
        <w:t>This would result in de novo review of the new material</w:t>
      </w:r>
    </w:p>
    <w:p w:rsidR="00A34BBC" w:rsidRPr="00B75FBF" w:rsidRDefault="00A34BBC" w:rsidP="00A34BBC">
      <w:pPr>
        <w:pStyle w:val="Heading4"/>
      </w:pPr>
      <w:r w:rsidRPr="00B75FBF">
        <w:t>Like a trial transcript on appeal, the record is usually closed.</w:t>
      </w:r>
    </w:p>
    <w:p w:rsidR="00A34BBC" w:rsidRPr="00B75FBF" w:rsidRDefault="00A34BBC" w:rsidP="00A34BBC">
      <w:pPr>
        <w:pStyle w:val="Heading3"/>
      </w:pPr>
      <w:r w:rsidRPr="00B75FBF">
        <w:t xml:space="preserve">There can be an exception if the issue being appealed to the courts is the agency's failure to allow outside input and thus failing </w:t>
      </w:r>
      <w:proofErr w:type="gramStart"/>
      <w:r w:rsidRPr="00B75FBF">
        <w:t>to consider</w:t>
      </w:r>
      <w:proofErr w:type="gramEnd"/>
      <w:r w:rsidRPr="00B75FBF">
        <w:t xml:space="preserve"> all relevant factors.</w:t>
      </w:r>
    </w:p>
    <w:p w:rsidR="00A34BBC" w:rsidRPr="00B75FBF" w:rsidRDefault="00A34BBC" w:rsidP="00A34BBC">
      <w:pPr>
        <w:pStyle w:val="Heading4"/>
      </w:pPr>
      <w:r w:rsidRPr="00B75FBF">
        <w:t>The court can allow the new material and give the agency a chance to supplement its record in response.</w:t>
      </w:r>
    </w:p>
    <w:p w:rsidR="00A34BBC" w:rsidRPr="00B75FBF" w:rsidRDefault="00A34BBC" w:rsidP="00A34BBC">
      <w:pPr>
        <w:pStyle w:val="Heading3"/>
      </w:pPr>
      <w:r w:rsidRPr="00B75FBF">
        <w:t>There can also be an exception if the plaintiff makes a credible showing of significant bias by the agency and the court needs to evaluate it.</w:t>
      </w:r>
    </w:p>
    <w:p w:rsidR="00A34BBC" w:rsidRPr="00B75FBF" w:rsidRDefault="00A34BBC" w:rsidP="00A34BBC">
      <w:pPr>
        <w:pStyle w:val="Heading4"/>
      </w:pPr>
      <w:r w:rsidRPr="00B75FBF">
        <w:t>The court can ask the agency to appoint an ALJ to take evidence and present it to the court - RARE</w:t>
      </w:r>
    </w:p>
    <w:p w:rsidR="00FB2169" w:rsidRDefault="00FB2169" w:rsidP="00A34BBC">
      <w:pPr>
        <w:pStyle w:val="Heading2"/>
      </w:pPr>
      <w:r w:rsidRPr="00B75FBF">
        <w:t xml:space="preserve">"Hard Look" - National Lime Assn. v. EPA, 627 F.2d 416, 453 (D.C. Cir. 1980) </w:t>
      </w:r>
    </w:p>
    <w:p w:rsidR="00FB2169" w:rsidRPr="00B75FBF" w:rsidRDefault="00FB2169" w:rsidP="00A34BBC">
      <w:pPr>
        <w:pStyle w:val="Heading3"/>
      </w:pPr>
      <w:r>
        <w:t>Since courts do not like to defer to anyone, many judges took this searching review standard as an invitation to nitpick the record to find reasons to remand the case, using the remand as a way to try to force the agency to change its decision.</w:t>
      </w:r>
    </w:p>
    <w:p w:rsidR="00FB2169" w:rsidRPr="00B75FBF" w:rsidRDefault="00FB2169" w:rsidP="00A34BBC">
      <w:pPr>
        <w:pStyle w:val="Heading3"/>
      </w:pPr>
      <w:r w:rsidRPr="00B75FBF">
        <w:t>[</w:t>
      </w:r>
      <w:proofErr w:type="gramStart"/>
      <w:r w:rsidRPr="00B75FBF">
        <w:t>judicial</w:t>
      </w:r>
      <w:proofErr w:type="gramEnd"/>
      <w:r w:rsidRPr="00B75FBF">
        <w:t xml:space="preserve"> review should] evince a concern that variables be accounted for, that the representativeness of test conditions be ascertained, that the validity of tests be assured and the statistical significance of results determined. Collectively, these concerns have sometimes been expressed as a need for “reasoned decision-making.</w:t>
      </w:r>
      <w:proofErr w:type="gramStart"/>
      <w:r w:rsidRPr="00B75FBF">
        <w:t>” .</w:t>
      </w:r>
      <w:proofErr w:type="gramEnd"/>
      <w:r w:rsidRPr="00B75FBF">
        <w:t xml:space="preserve"> . . However expressed, these more substantive concerns have been coupled with a requirement that assumptions be stated, that process be revealed, that the rejection of alternate theories or abandonment of alternate course of action be explained and that the rationale for the ultimate decision be set forth in a manner which permits </w:t>
      </w:r>
      <w:proofErr w:type="gramStart"/>
      <w:r w:rsidRPr="00B75FBF">
        <w:t>the .</w:t>
      </w:r>
      <w:proofErr w:type="gramEnd"/>
      <w:r w:rsidRPr="00B75FBF">
        <w:t xml:space="preserve"> . . courts to exercise their statutory responsibility upon review. </w:t>
      </w:r>
    </w:p>
    <w:p w:rsidR="00FB2169" w:rsidRPr="00B75FBF" w:rsidRDefault="00FB2169" w:rsidP="00A34BBC">
      <w:pPr>
        <w:pStyle w:val="Heading2"/>
      </w:pPr>
      <w:r w:rsidRPr="00B75FBF">
        <w:t>Hard Look at What?</w:t>
      </w:r>
    </w:p>
    <w:p w:rsidR="00FB2169" w:rsidRPr="00B75FBF" w:rsidRDefault="00FB2169" w:rsidP="00A34BBC">
      <w:pPr>
        <w:pStyle w:val="Heading3"/>
      </w:pPr>
      <w:r w:rsidRPr="00B75FBF">
        <w:t>The courts cannot use hard look to change the underlying requirement that they defer to agency decisionmaking on facts and policy.</w:t>
      </w:r>
    </w:p>
    <w:p w:rsidR="00FB2169" w:rsidRPr="00B75FBF" w:rsidRDefault="00FB2169" w:rsidP="00A34BBC">
      <w:pPr>
        <w:pStyle w:val="Heading3"/>
      </w:pPr>
      <w:r w:rsidRPr="00B75FBF">
        <w:t xml:space="preserve">Hard look analysis requires agencies to make sure that the record for the case provides a clear basis for their </w:t>
      </w:r>
      <w:proofErr w:type="spellStart"/>
      <w:r w:rsidRPr="00B75FBF">
        <w:t>factfinding</w:t>
      </w:r>
      <w:proofErr w:type="spellEnd"/>
      <w:r w:rsidRPr="00B75FBF">
        <w:t xml:space="preserve"> and their policy decisions.</w:t>
      </w:r>
    </w:p>
    <w:p w:rsidR="00FB2169" w:rsidRPr="00B75FBF" w:rsidRDefault="00FB2169" w:rsidP="00A34BBC">
      <w:pPr>
        <w:pStyle w:val="Heading3"/>
      </w:pPr>
      <w:r w:rsidRPr="00B75FBF">
        <w:t xml:space="preserve">The federal court cannot change the decision, but it can require the agency to </w:t>
      </w:r>
      <w:r w:rsidRPr="00B75FBF">
        <w:lastRenderedPageBreak/>
        <w:t>provide better support for its decisions.</w:t>
      </w:r>
    </w:p>
    <w:p w:rsidR="009805F8" w:rsidRPr="00B75FBF" w:rsidRDefault="009805F8" w:rsidP="009805F8">
      <w:pPr>
        <w:pStyle w:val="Heading2"/>
      </w:pPr>
      <w:r w:rsidRPr="00B75FBF">
        <w:t>Motor Vehicle Manufacturers v State Farm Mutual Auto, 463 U.S. 29 (1983)</w:t>
      </w:r>
    </w:p>
    <w:p w:rsidR="009805F8" w:rsidRPr="00B75FBF" w:rsidRDefault="009805F8" w:rsidP="009805F8">
      <w:pPr>
        <w:pStyle w:val="Heading3"/>
      </w:pPr>
      <w:r w:rsidRPr="00B75FBF">
        <w:t>Who are the real parties at interest?</w:t>
      </w:r>
    </w:p>
    <w:p w:rsidR="009805F8" w:rsidRPr="00B75FBF" w:rsidRDefault="009805F8" w:rsidP="009805F8">
      <w:pPr>
        <w:pStyle w:val="Heading3"/>
      </w:pPr>
      <w:r w:rsidRPr="00B75FBF">
        <w:t>What are these parties in the case?</w:t>
      </w:r>
    </w:p>
    <w:p w:rsidR="009805F8" w:rsidRPr="00B75FBF" w:rsidRDefault="009805F8" w:rsidP="009805F8">
      <w:pPr>
        <w:pStyle w:val="Heading3"/>
      </w:pPr>
      <w:r w:rsidRPr="00B75FBF">
        <w:t>DOT had previously justified the need for a rule on seatbelts.</w:t>
      </w:r>
    </w:p>
    <w:p w:rsidR="009805F8" w:rsidRPr="00B75FBF" w:rsidRDefault="009805F8" w:rsidP="009805F8">
      <w:pPr>
        <w:pStyle w:val="Heading3"/>
      </w:pPr>
      <w:r w:rsidRPr="00B75FBF">
        <w:t>Now DOT wants to rescind that rule.</w:t>
      </w:r>
    </w:p>
    <w:p w:rsidR="009805F8" w:rsidRPr="00B75FBF" w:rsidRDefault="009805F8" w:rsidP="009805F8">
      <w:pPr>
        <w:pStyle w:val="Heading4"/>
      </w:pPr>
      <w:r w:rsidRPr="00B75FBF">
        <w:t>Why is a rescission subject to the same record requirements as the promulgation of a rule?</w:t>
      </w:r>
    </w:p>
    <w:p w:rsidR="009805F8" w:rsidRPr="00B75FBF" w:rsidRDefault="009805F8" w:rsidP="009805F8">
      <w:pPr>
        <w:pStyle w:val="Heading4"/>
      </w:pPr>
      <w:r w:rsidRPr="00B75FBF">
        <w:t>Why does rescission so soon after the promulgation of the rule undermine deference arguments?</w:t>
      </w:r>
    </w:p>
    <w:p w:rsidR="009805F8" w:rsidRPr="00B75FBF" w:rsidRDefault="009805F8" w:rsidP="009805F8">
      <w:pPr>
        <w:pStyle w:val="Heading2"/>
      </w:pPr>
      <w:r w:rsidRPr="00B75FBF">
        <w:t xml:space="preserve">NRDC, Inc. v. Herrington, 768 F.2d 1355 (D.C. Cir. 1985) </w:t>
      </w:r>
    </w:p>
    <w:p w:rsidR="00165EA3" w:rsidRDefault="00165EA3" w:rsidP="009805F8">
      <w:pPr>
        <w:pStyle w:val="Heading3"/>
      </w:pPr>
      <w:r>
        <w:t>Background</w:t>
      </w:r>
    </w:p>
    <w:p w:rsidR="009805F8" w:rsidRPr="00B75FBF" w:rsidRDefault="009805F8" w:rsidP="00165EA3">
      <w:pPr>
        <w:pStyle w:val="Heading4"/>
      </w:pPr>
      <w:r w:rsidRPr="00B75FBF">
        <w:t>Post 1973 oil embargo, Congress wanted national standards that would improve energy efficiency.</w:t>
      </w:r>
    </w:p>
    <w:p w:rsidR="009805F8" w:rsidRPr="00B75FBF" w:rsidRDefault="009805F8" w:rsidP="00165EA3">
      <w:pPr>
        <w:pStyle w:val="Heading4"/>
      </w:pPr>
      <w:r w:rsidRPr="00B75FBF">
        <w:t>DOE was given the power to set a standard for appliance efficiency that preempts state standards.</w:t>
      </w:r>
    </w:p>
    <w:p w:rsidR="009805F8" w:rsidRPr="00B75FBF" w:rsidRDefault="009805F8" w:rsidP="00165EA3">
      <w:pPr>
        <w:pStyle w:val="Heading4"/>
      </w:pPr>
      <w:r w:rsidRPr="00B75FBF">
        <w:t>A federal standard would block stricter state standards so that there would be a national market.</w:t>
      </w:r>
    </w:p>
    <w:p w:rsidR="009805F8" w:rsidRPr="00B75FBF" w:rsidRDefault="009805F8" w:rsidP="00165EA3">
      <w:pPr>
        <w:pStyle w:val="Heading4"/>
      </w:pPr>
      <w:r w:rsidRPr="00B75FBF">
        <w:t>Congress also allowed the agency to find that no standard was necessary, which also triggered preemption.</w:t>
      </w:r>
    </w:p>
    <w:p w:rsidR="009805F8" w:rsidRPr="00B75FBF" w:rsidRDefault="009805F8" w:rsidP="00165EA3">
      <w:pPr>
        <w:pStyle w:val="Heading3"/>
      </w:pPr>
      <w:r w:rsidRPr="00B75FBF">
        <w:t>Procedure for a Binding Non-Rule</w:t>
      </w:r>
    </w:p>
    <w:p w:rsidR="009805F8" w:rsidRPr="00B75FBF" w:rsidRDefault="009805F8" w:rsidP="00165EA3">
      <w:pPr>
        <w:pStyle w:val="Heading4"/>
      </w:pPr>
      <w:r w:rsidRPr="00B75FBF">
        <w:t>DOE publishes the support for its conclusion that there should not be a rule.</w:t>
      </w:r>
    </w:p>
    <w:p w:rsidR="009805F8" w:rsidRPr="00B75FBF" w:rsidRDefault="009805F8" w:rsidP="00165EA3">
      <w:pPr>
        <w:pStyle w:val="Heading5"/>
      </w:pPr>
      <w:r w:rsidRPr="00B75FBF">
        <w:t>This standard did not include an analysis of the environmental impact of not having the standard.</w:t>
      </w:r>
    </w:p>
    <w:p w:rsidR="009805F8" w:rsidRPr="00B75FBF" w:rsidRDefault="009805F8" w:rsidP="00165EA3">
      <w:pPr>
        <w:pStyle w:val="Heading5"/>
      </w:pPr>
      <w:r w:rsidRPr="00B75FBF">
        <w:t>The NRDC challenges the failure to publish this analysis.</w:t>
      </w:r>
    </w:p>
    <w:p w:rsidR="009805F8" w:rsidRPr="00B75FBF" w:rsidRDefault="009805F8" w:rsidP="00165EA3">
      <w:pPr>
        <w:pStyle w:val="Heading4"/>
      </w:pPr>
      <w:r w:rsidRPr="00B75FBF">
        <w:t>Must the agency provide State Farm support for not making a rule?</w:t>
      </w:r>
    </w:p>
    <w:p w:rsidR="009805F8" w:rsidRPr="00B75FBF" w:rsidRDefault="009805F8" w:rsidP="00165EA3">
      <w:pPr>
        <w:pStyle w:val="Heading5"/>
      </w:pPr>
      <w:r w:rsidRPr="00B75FBF">
        <w:t>Why is this different denying a petition for rulemaking?</w:t>
      </w:r>
    </w:p>
    <w:p w:rsidR="009805F8" w:rsidRPr="00B75FBF" w:rsidRDefault="009805F8" w:rsidP="009805F8">
      <w:pPr>
        <w:pStyle w:val="Heading2"/>
      </w:pPr>
      <w:r w:rsidRPr="00B75FBF">
        <w:t>American Dental Assn. v. Martin, 984 F.2d 823 (7th Cir. 1993)</w:t>
      </w:r>
    </w:p>
    <w:p w:rsidR="009805F8" w:rsidRPr="00B75FBF" w:rsidRDefault="009805F8" w:rsidP="009805F8">
      <w:pPr>
        <w:pStyle w:val="Heading3"/>
      </w:pPr>
      <w:r w:rsidRPr="00B75FBF">
        <w:lastRenderedPageBreak/>
        <w:t>OSHA bloodborne pathogens rule</w:t>
      </w:r>
    </w:p>
    <w:p w:rsidR="009805F8" w:rsidRPr="00B75FBF" w:rsidRDefault="009805F8" w:rsidP="009805F8">
      <w:pPr>
        <w:pStyle w:val="Heading4"/>
      </w:pPr>
      <w:r w:rsidRPr="00B75FBF">
        <w:t>Requires universal precautions in all health care workplaces</w:t>
      </w:r>
    </w:p>
    <w:p w:rsidR="009805F8" w:rsidRPr="00B75FBF" w:rsidRDefault="009805F8" w:rsidP="009805F8">
      <w:pPr>
        <w:pStyle w:val="Heading4"/>
      </w:pPr>
      <w:r w:rsidRPr="00B75FBF">
        <w:t>These include gloves, sharps management, eye protection, and other controls to reduce exposure to blood</w:t>
      </w:r>
    </w:p>
    <w:p w:rsidR="009805F8" w:rsidRPr="00B75FBF" w:rsidRDefault="009805F8" w:rsidP="00165EA3">
      <w:pPr>
        <w:pStyle w:val="Heading4"/>
      </w:pPr>
      <w:r w:rsidRPr="00B75FBF">
        <w:t>Dentists charge that the agency did not show specific risks in dentistry and thus the rule was arbitrary and capricious</w:t>
      </w:r>
    </w:p>
    <w:p w:rsidR="009805F8" w:rsidRDefault="009805F8" w:rsidP="003E4D39">
      <w:pPr>
        <w:pStyle w:val="Heading5"/>
      </w:pPr>
      <w:r w:rsidRPr="00B75FBF">
        <w:t>Were they right?</w:t>
      </w:r>
      <w:r w:rsidR="003C2786">
        <w:t xml:space="preserve"> Is there any reason that </w:t>
      </w:r>
      <w:proofErr w:type="gramStart"/>
      <w:r w:rsidR="003C2786">
        <w:t>getting</w:t>
      </w:r>
      <w:proofErr w:type="gramEnd"/>
      <w:r w:rsidR="003C2786">
        <w:t xml:space="preserve"> stuck in a dentist’s office is any different from getting stuck in a doctor’s office or a hospital?</w:t>
      </w:r>
    </w:p>
    <w:p w:rsidR="009805F8" w:rsidRPr="00B75FBF" w:rsidRDefault="009805F8" w:rsidP="00461CA7">
      <w:pPr>
        <w:pStyle w:val="Heading4"/>
      </w:pPr>
      <w:r>
        <w:t>What if</w:t>
      </w:r>
      <w:r w:rsidRPr="00B75FBF">
        <w:t xml:space="preserve"> the Agency Promises </w:t>
      </w:r>
      <w:proofErr w:type="gramStart"/>
      <w:r w:rsidRPr="00B75FBF">
        <w:t>to Not Enforce</w:t>
      </w:r>
      <w:proofErr w:type="gramEnd"/>
      <w:r w:rsidRPr="00B75FBF">
        <w:t xml:space="preserve"> a Rule?</w:t>
      </w:r>
    </w:p>
    <w:p w:rsidR="009805F8" w:rsidRPr="00B75FBF" w:rsidRDefault="009805F8" w:rsidP="00461CA7">
      <w:pPr>
        <w:pStyle w:val="Heading5"/>
      </w:pPr>
      <w:r w:rsidRPr="00B75FBF">
        <w:t>The bloodborne pathogens rule required employers to control exposure in the workplaces</w:t>
      </w:r>
      <w:r w:rsidR="003C2786">
        <w:t>.</w:t>
      </w:r>
    </w:p>
    <w:p w:rsidR="009805F8" w:rsidRPr="00B75FBF" w:rsidRDefault="009805F8" w:rsidP="00461CA7">
      <w:pPr>
        <w:pStyle w:val="Heading5"/>
      </w:pPr>
      <w:r w:rsidRPr="00B75FBF">
        <w:t>In all health care workplaces except home health, the employer had control over the employee</w:t>
      </w:r>
      <w:r w:rsidR="003C2786">
        <w:t>.</w:t>
      </w:r>
    </w:p>
    <w:p w:rsidR="009805F8" w:rsidRPr="00B75FBF" w:rsidRDefault="009805F8" w:rsidP="00461CA7">
      <w:pPr>
        <w:pStyle w:val="Heading5"/>
      </w:pPr>
      <w:r w:rsidRPr="00B75FBF">
        <w:t>Home health agencies said they could not comply with the rule because they did not have enough control</w:t>
      </w:r>
    </w:p>
    <w:p w:rsidR="009805F8" w:rsidRPr="00B75FBF" w:rsidRDefault="009805F8" w:rsidP="00461CA7">
      <w:pPr>
        <w:pStyle w:val="Heading5"/>
      </w:pPr>
      <w:r w:rsidRPr="00B75FBF">
        <w:t>OSHA says it will not enforce the rule against them.</w:t>
      </w:r>
    </w:p>
    <w:p w:rsidR="009805F8" w:rsidRDefault="009805F8" w:rsidP="00461CA7">
      <w:pPr>
        <w:pStyle w:val="Heading5"/>
      </w:pPr>
      <w:r w:rsidRPr="00B75FBF">
        <w:t>Is this enough to save the rule from being arbitrary and capricious for home health?</w:t>
      </w:r>
    </w:p>
    <w:p w:rsidR="003C2786" w:rsidRDefault="003C2786" w:rsidP="00461CA7">
      <w:pPr>
        <w:pStyle w:val="Heading6"/>
      </w:pPr>
      <w:r>
        <w:t>How would you argue the agency’s side?</w:t>
      </w:r>
    </w:p>
    <w:p w:rsidR="003C2786" w:rsidRPr="00B75FBF" w:rsidRDefault="003C2786" w:rsidP="00461CA7">
      <w:pPr>
        <w:pStyle w:val="Heading6"/>
      </w:pPr>
      <w:r>
        <w:t>How would you argue the home health side?</w:t>
      </w:r>
    </w:p>
    <w:p w:rsidR="009805F8" w:rsidRPr="00B75FBF" w:rsidRDefault="009805F8" w:rsidP="009805F8">
      <w:pPr>
        <w:pStyle w:val="Heading2"/>
      </w:pPr>
      <w:r w:rsidRPr="00B75FBF">
        <w:t>De Novo Review Under the APA</w:t>
      </w:r>
    </w:p>
    <w:p w:rsidR="009805F8" w:rsidRPr="00B75FBF" w:rsidRDefault="009805F8" w:rsidP="009805F8">
      <w:pPr>
        <w:pStyle w:val="Heading3"/>
      </w:pPr>
      <w:r w:rsidRPr="00B75FBF">
        <w:t>Section 706(2</w:t>
      </w:r>
      <w:proofErr w:type="gramStart"/>
      <w:r w:rsidRPr="00B75FBF">
        <w:t>)(</w:t>
      </w:r>
      <w:proofErr w:type="gramEnd"/>
      <w:r w:rsidRPr="00B75FBF">
        <w:t xml:space="preserve">F) provides for setting aside agency action found to be “unwarranted by the facts to the extent that the facts are subject to trial de novo by the reviewing court.” </w:t>
      </w:r>
    </w:p>
    <w:p w:rsidR="009805F8" w:rsidRPr="00B75FBF" w:rsidRDefault="009805F8" w:rsidP="009805F8">
      <w:pPr>
        <w:pStyle w:val="Heading3"/>
      </w:pPr>
      <w:r w:rsidRPr="00B75FBF">
        <w:t xml:space="preserve">Overton Park - such de novo review is authorized when the action is adjudicatory in nature and the agency </w:t>
      </w:r>
      <w:proofErr w:type="spellStart"/>
      <w:r w:rsidRPr="00B75FBF">
        <w:t>factfinding</w:t>
      </w:r>
      <w:proofErr w:type="spellEnd"/>
      <w:r w:rsidRPr="00B75FBF">
        <w:t xml:space="preserve"> procedures are inadequate </w:t>
      </w:r>
    </w:p>
    <w:p w:rsidR="009805F8" w:rsidRPr="00B75FBF" w:rsidRDefault="009805F8" w:rsidP="009805F8">
      <w:pPr>
        <w:pStyle w:val="Heading4"/>
      </w:pPr>
      <w:r w:rsidRPr="00B75FBF">
        <w:t>Absent bad faith, the court never finds this</w:t>
      </w:r>
    </w:p>
    <w:p w:rsidR="009805F8" w:rsidRPr="00B75FBF" w:rsidRDefault="009805F8" w:rsidP="009805F8">
      <w:pPr>
        <w:pStyle w:val="Heading4"/>
      </w:pPr>
      <w:r w:rsidRPr="00B75FBF">
        <w:t>In real life, you only get de novo rule by statute</w:t>
      </w:r>
    </w:p>
    <w:p w:rsidR="00D95C30" w:rsidRDefault="00D95C30" w:rsidP="0079722B">
      <w:pPr>
        <w:pStyle w:val="Heading1"/>
      </w:pPr>
      <w:r>
        <w:t>Evaluation Questions</w:t>
      </w:r>
    </w:p>
    <w:p w:rsidR="005048D9" w:rsidRDefault="005048D9" w:rsidP="001704E0">
      <w:pPr>
        <w:pStyle w:val="Heading2"/>
      </w:pPr>
      <w:r>
        <w:t>Reviewing facts versus reviewing law</w:t>
      </w:r>
    </w:p>
    <w:p w:rsidR="005048D9" w:rsidRDefault="005048D9" w:rsidP="001704E0">
      <w:pPr>
        <w:pStyle w:val="Heading3"/>
      </w:pPr>
      <w:r>
        <w:lastRenderedPageBreak/>
        <w:t>Agencies find facts through adjudications and through their research in putting together the record to support rulemaking.</w:t>
      </w:r>
    </w:p>
    <w:p w:rsidR="005048D9" w:rsidRDefault="005048D9" w:rsidP="001704E0">
      <w:pPr>
        <w:pStyle w:val="Heading3"/>
      </w:pPr>
      <w:r>
        <w:t>Analogizing to Article III trial practice, why do appeals courts view review of facts differently from the review of law?</w:t>
      </w:r>
    </w:p>
    <w:p w:rsidR="005048D9" w:rsidRDefault="005048D9" w:rsidP="001704E0">
      <w:pPr>
        <w:pStyle w:val="Heading3"/>
      </w:pPr>
      <w:r>
        <w:t>Putting aside the various standards of review, are appeals courts more likely to defer to determinations of facts or of law?</w:t>
      </w:r>
    </w:p>
    <w:p w:rsidR="005048D9" w:rsidRDefault="005048D9" w:rsidP="001704E0">
      <w:pPr>
        <w:pStyle w:val="Heading2"/>
      </w:pPr>
      <w:r>
        <w:t>Standards of review</w:t>
      </w:r>
    </w:p>
    <w:p w:rsidR="005048D9" w:rsidRDefault="005048D9" w:rsidP="001704E0">
      <w:pPr>
        <w:pStyle w:val="Heading3"/>
      </w:pPr>
      <w:r w:rsidRPr="008F3B97">
        <w:t xml:space="preserve">Define and distinguish these standards for review of agency findings of fact: </w:t>
      </w:r>
    </w:p>
    <w:p w:rsidR="005048D9" w:rsidRDefault="005048D9" w:rsidP="001704E0">
      <w:pPr>
        <w:pStyle w:val="Heading4"/>
      </w:pPr>
      <w:r w:rsidRPr="008F3B97">
        <w:t xml:space="preserve">Trial de novo; </w:t>
      </w:r>
    </w:p>
    <w:p w:rsidR="005048D9" w:rsidRDefault="005048D9" w:rsidP="001704E0">
      <w:pPr>
        <w:pStyle w:val="Heading4"/>
      </w:pPr>
      <w:r w:rsidRPr="008F3B97">
        <w:t xml:space="preserve">Independent judgment on the evidence; </w:t>
      </w:r>
    </w:p>
    <w:p w:rsidR="005048D9" w:rsidRDefault="005048D9" w:rsidP="001704E0">
      <w:pPr>
        <w:pStyle w:val="Heading4"/>
      </w:pPr>
      <w:r w:rsidRPr="008F3B97">
        <w:t xml:space="preserve">Substantial evidence </w:t>
      </w:r>
      <w:r>
        <w:t>– how is this effectively the same as arbitrary and capricious?</w:t>
      </w:r>
    </w:p>
    <w:p w:rsidR="005048D9" w:rsidRDefault="005048D9" w:rsidP="001704E0">
      <w:pPr>
        <w:pStyle w:val="Heading5"/>
      </w:pPr>
      <w:r>
        <w:t xml:space="preserve">How does the </w:t>
      </w:r>
      <w:r w:rsidRPr="0036451B">
        <w:rPr>
          <w:i/>
        </w:rPr>
        <w:t>Chevron</w:t>
      </w:r>
      <w:r>
        <w:t xml:space="preserve"> standard for reviewing law look like the substantial evidence test for reviewing facts?</w:t>
      </w:r>
    </w:p>
    <w:p w:rsidR="005048D9" w:rsidRDefault="005048D9" w:rsidP="001704E0">
      <w:pPr>
        <w:pStyle w:val="Heading5"/>
      </w:pPr>
      <w:r>
        <w:t>Should the court be more deferential to the agency when reviewing facts, as opposed to law?</w:t>
      </w:r>
    </w:p>
    <w:p w:rsidR="005048D9" w:rsidRPr="008F3B97" w:rsidRDefault="005048D9" w:rsidP="001704E0">
      <w:pPr>
        <w:pStyle w:val="Heading4"/>
      </w:pPr>
      <w:r w:rsidRPr="008F3B97">
        <w:t>Facts not reviewable at all.</w:t>
      </w:r>
    </w:p>
    <w:p w:rsidR="001704E0" w:rsidRDefault="001704E0" w:rsidP="001704E0">
      <w:pPr>
        <w:pStyle w:val="Heading2"/>
      </w:pPr>
      <w:r>
        <w:t>Building the Record for Judicial Review</w:t>
      </w:r>
    </w:p>
    <w:p w:rsidR="001704E0" w:rsidRDefault="001704E0" w:rsidP="001704E0">
      <w:pPr>
        <w:pStyle w:val="Heading3"/>
      </w:pPr>
      <w:r>
        <w:t xml:space="preserve">Before </w:t>
      </w:r>
      <w:r w:rsidRPr="00F663F3">
        <w:rPr>
          <w:i/>
        </w:rPr>
        <w:t>Citizens to Preserve Overton Park v. Volpe</w:t>
      </w:r>
      <w:r w:rsidRPr="009342BA">
        <w:t>, 401 U.S. 402 (1971)</w:t>
      </w:r>
      <w:r>
        <w:t xml:space="preserve"> committed to agency discretion was seen as meaning essentially no judicial review.</w:t>
      </w:r>
    </w:p>
    <w:p w:rsidR="001704E0" w:rsidRDefault="001704E0" w:rsidP="001704E0">
      <w:pPr>
        <w:pStyle w:val="Heading4"/>
      </w:pPr>
      <w:r>
        <w:t xml:space="preserve">What did the court find was arbitrary and capricious about the Secretary’s actions in </w:t>
      </w:r>
      <w:r>
        <w:rPr>
          <w:i/>
        </w:rPr>
        <w:t>Overton Park</w:t>
      </w:r>
      <w:r>
        <w:t>?</w:t>
      </w:r>
    </w:p>
    <w:p w:rsidR="001704E0" w:rsidRDefault="001704E0" w:rsidP="001704E0">
      <w:pPr>
        <w:pStyle w:val="Heading4"/>
      </w:pPr>
      <w:r>
        <w:t xml:space="preserve">What does an agency have to do after </w:t>
      </w:r>
      <w:r>
        <w:rPr>
          <w:i/>
        </w:rPr>
        <w:t>Overton Park</w:t>
      </w:r>
      <w:r>
        <w:t xml:space="preserve"> to justify its decisions?</w:t>
      </w:r>
    </w:p>
    <w:p w:rsidR="001704E0" w:rsidRDefault="001704E0" w:rsidP="001704E0">
      <w:pPr>
        <w:pStyle w:val="Heading4"/>
      </w:pPr>
      <w:r>
        <w:t xml:space="preserve">Did </w:t>
      </w:r>
      <w:r>
        <w:rPr>
          <w:i/>
        </w:rPr>
        <w:t>Overton Park</w:t>
      </w:r>
      <w:r>
        <w:t xml:space="preserve"> change the standard of review of the underlying decision, or only of the completeness of the record?</w:t>
      </w:r>
    </w:p>
    <w:p w:rsidR="001704E0" w:rsidRDefault="001704E0" w:rsidP="001704E0">
      <w:pPr>
        <w:pStyle w:val="Heading4"/>
      </w:pPr>
      <w:r>
        <w:t xml:space="preserve">How does this review of the completeness of the record fit with the </w:t>
      </w:r>
      <w:r>
        <w:rPr>
          <w:i/>
        </w:rPr>
        <w:t>Chevron</w:t>
      </w:r>
      <w:r>
        <w:t>, etc., line of cases on deference to agency interpretation of law?</w:t>
      </w:r>
    </w:p>
    <w:p w:rsidR="001704E0" w:rsidRDefault="001704E0" w:rsidP="001704E0">
      <w:pPr>
        <w:pStyle w:val="Heading4"/>
      </w:pPr>
      <w:r>
        <w:t>How does “hard look” review fit into these two approaches?</w:t>
      </w:r>
    </w:p>
    <w:p w:rsidR="001704E0" w:rsidRPr="001704E0" w:rsidRDefault="001704E0" w:rsidP="001704E0">
      <w:pPr>
        <w:pStyle w:val="Heading4"/>
      </w:pPr>
      <w:r>
        <w:t>Which of these arguments would you apply when arguing a case attempting to overturn an agency action when you think that the court will likely defer to the decision made by the agency?</w:t>
      </w:r>
    </w:p>
    <w:p w:rsidR="005048D9" w:rsidRDefault="005048D9" w:rsidP="001704E0">
      <w:pPr>
        <w:pStyle w:val="Heading2"/>
      </w:pPr>
      <w:r>
        <w:lastRenderedPageBreak/>
        <w:t>Reconciling ALJs and Agency Decisionmaking</w:t>
      </w:r>
    </w:p>
    <w:p w:rsidR="005048D9" w:rsidRDefault="005048D9" w:rsidP="001704E0">
      <w:pPr>
        <w:pStyle w:val="Heading3"/>
      </w:pPr>
      <w:r w:rsidRPr="008F3B97">
        <w:t>When a hearing officer is overruled by the agency, how should the reviewing court treat the ALJ's opinion</w:t>
      </w:r>
      <w:r>
        <w:t>?</w:t>
      </w:r>
    </w:p>
    <w:p w:rsidR="005048D9" w:rsidRDefault="005048D9" w:rsidP="001704E0">
      <w:pPr>
        <w:pStyle w:val="Heading4"/>
      </w:pPr>
      <w:r>
        <w:t>What does the agency need to do if it wants to overrule the ALJ's finding?</w:t>
      </w:r>
    </w:p>
    <w:p w:rsidR="005048D9" w:rsidRDefault="00D86D6D" w:rsidP="001704E0">
      <w:pPr>
        <w:pStyle w:val="Heading4"/>
      </w:pPr>
      <w:r>
        <w:t>When are</w:t>
      </w:r>
      <w:r w:rsidR="005048D9">
        <w:t xml:space="preserve"> the ALJ's finding</w:t>
      </w:r>
      <w:r>
        <w:t>s</w:t>
      </w:r>
      <w:r w:rsidR="005048D9">
        <w:t xml:space="preserve"> most persuasive to the courts?</w:t>
      </w:r>
      <w:r>
        <w:t xml:space="preserve"> When the agency wants to overrule the ALJ on this sort of evidence, such as the credibility of a witness, what would the agency need to show in the record?</w:t>
      </w:r>
    </w:p>
    <w:p w:rsidR="005048D9" w:rsidRPr="008F3B97" w:rsidRDefault="00D86D6D" w:rsidP="001704E0">
      <w:pPr>
        <w:pStyle w:val="Heading4"/>
      </w:pPr>
      <w:r>
        <w:t xml:space="preserve">Are agencies in Louisiana able to overrule ALJs in the </w:t>
      </w:r>
      <w:r w:rsidR="005048D9">
        <w:t>central panel?</w:t>
      </w:r>
    </w:p>
    <w:p w:rsidR="005A2501" w:rsidRDefault="005A2501" w:rsidP="001704E0">
      <w:pPr>
        <w:pStyle w:val="Heading3"/>
      </w:pPr>
      <w:r>
        <w:t>What is a hybrid question of law and fact?</w:t>
      </w:r>
    </w:p>
    <w:p w:rsidR="005A2501" w:rsidRDefault="005A2501" w:rsidP="005A2501">
      <w:pPr>
        <w:pStyle w:val="Heading4"/>
      </w:pPr>
      <w:r>
        <w:t>How do the courts review these?</w:t>
      </w:r>
    </w:p>
    <w:p w:rsidR="005A2501" w:rsidRDefault="005A2501" w:rsidP="005A2501">
      <w:pPr>
        <w:pStyle w:val="Heading4"/>
      </w:pPr>
      <w:r>
        <w:t>How do you use the differing standards of review to support your arguments pro or con in a hybrid case?</w:t>
      </w:r>
    </w:p>
    <w:p w:rsidR="005A2501" w:rsidRPr="00B75FBF" w:rsidRDefault="005A2501" w:rsidP="005A2501">
      <w:pPr>
        <w:pStyle w:val="Heading3"/>
      </w:pPr>
      <w:r>
        <w:t xml:space="preserve">What is the general rule on amending the agency record when it is on appeal to the courts? </w:t>
      </w:r>
      <w:r w:rsidRPr="00B75FBF">
        <w:t xml:space="preserve">When </w:t>
      </w:r>
      <w:r>
        <w:t xml:space="preserve">may </w:t>
      </w:r>
      <w:r w:rsidRPr="00B75FBF">
        <w:t xml:space="preserve">the </w:t>
      </w:r>
      <w:r>
        <w:t>c</w:t>
      </w:r>
      <w:r w:rsidRPr="00B75FBF">
        <w:t xml:space="preserve">ourt </w:t>
      </w:r>
      <w:r>
        <w:t>a</w:t>
      </w:r>
      <w:r w:rsidRPr="00B75FBF">
        <w:t xml:space="preserve">llow the </w:t>
      </w:r>
      <w:r>
        <w:t>r</w:t>
      </w:r>
      <w:r w:rsidRPr="00B75FBF">
        <w:t xml:space="preserve">ecord to be supplemented by the </w:t>
      </w:r>
      <w:r>
        <w:t>a</w:t>
      </w:r>
      <w:r w:rsidRPr="00B75FBF">
        <w:t>gency?</w:t>
      </w:r>
    </w:p>
    <w:p w:rsidR="0027627D" w:rsidRDefault="0027627D" w:rsidP="001704E0">
      <w:pPr>
        <w:pStyle w:val="Heading3"/>
      </w:pPr>
      <w:r>
        <w:t>What does the case withdrawing seat belt regulation (</w:t>
      </w:r>
      <w:r w:rsidRPr="00F22A6F">
        <w:rPr>
          <w:i/>
        </w:rPr>
        <w:t xml:space="preserve">Motor Vehicle Mfrs. </w:t>
      </w:r>
      <w:proofErr w:type="spellStart"/>
      <w:r w:rsidRPr="00F22A6F">
        <w:rPr>
          <w:i/>
        </w:rPr>
        <w:t>Ass'n</w:t>
      </w:r>
      <w:proofErr w:type="spellEnd"/>
      <w:r w:rsidRPr="00F22A6F">
        <w:rPr>
          <w:i/>
        </w:rPr>
        <w:t xml:space="preserve"> of U.S., Inc. v. State Farm</w:t>
      </w:r>
      <w:r>
        <w:t>) tell us about procedure for withdrawing a rule?</w:t>
      </w:r>
    </w:p>
    <w:p w:rsidR="00133D7C" w:rsidRDefault="00133D7C" w:rsidP="001704E0">
      <w:pPr>
        <w:pStyle w:val="Heading4"/>
      </w:pPr>
      <w:r>
        <w:t>Why did the court require this process, rather than just allowing the rule to be withdrawn?</w:t>
      </w:r>
    </w:p>
    <w:p w:rsidR="00133D7C" w:rsidRPr="00F663F3" w:rsidRDefault="00133D7C" w:rsidP="00133D7C">
      <w:pPr>
        <w:pStyle w:val="Heading4"/>
      </w:pPr>
      <w:r>
        <w:t>How is the seat belt case (</w:t>
      </w:r>
      <w:r w:rsidRPr="00F663F3">
        <w:rPr>
          <w:i/>
        </w:rPr>
        <w:t>Motor Vehicles Manufacturers Assoc. v State Farm</w:t>
      </w:r>
      <w:r>
        <w:t>)</w:t>
      </w:r>
      <w:r w:rsidRPr="008F3B97">
        <w:t xml:space="preserve"> </w:t>
      </w:r>
      <w:r>
        <w:t xml:space="preserve">the logical result of </w:t>
      </w:r>
      <w:r>
        <w:rPr>
          <w:i/>
        </w:rPr>
        <w:t xml:space="preserve">Overton </w:t>
      </w:r>
      <w:r w:rsidRPr="00F663F3">
        <w:rPr>
          <w:i/>
        </w:rPr>
        <w:t>Park</w:t>
      </w:r>
      <w:r>
        <w:t>?</w:t>
      </w:r>
    </w:p>
    <w:p w:rsidR="005A2501" w:rsidRPr="00EA186C" w:rsidRDefault="005A2501" w:rsidP="001704E0">
      <w:pPr>
        <w:pStyle w:val="Heading4"/>
      </w:pPr>
      <w:r>
        <w:t xml:space="preserve">How </w:t>
      </w:r>
      <w:r w:rsidR="00133D7C">
        <w:t xml:space="preserve">could you argue that </w:t>
      </w:r>
      <w:r>
        <w:rPr>
          <w:i/>
        </w:rPr>
        <w:t>State Farm</w:t>
      </w:r>
      <w:r>
        <w:t xml:space="preserve"> </w:t>
      </w:r>
      <w:r w:rsidR="00133D7C">
        <w:t xml:space="preserve">is </w:t>
      </w:r>
      <w:r>
        <w:t>a hard look case?</w:t>
      </w:r>
    </w:p>
    <w:p w:rsidR="005A2501" w:rsidRPr="008F3B97" w:rsidRDefault="005A2501" w:rsidP="001704E0">
      <w:pPr>
        <w:pStyle w:val="Heading4"/>
      </w:pPr>
      <w:r>
        <w:t>What does the Seatbelt Saga teach us about the politics of agency regulations and the role of lawyers?</w:t>
      </w:r>
    </w:p>
    <w:p w:rsidR="005A2501" w:rsidRDefault="005A2501" w:rsidP="005A2501">
      <w:pPr>
        <w:pStyle w:val="Heading3"/>
      </w:pPr>
      <w:r>
        <w:t>What is the procedure for a non-rule rule?</w:t>
      </w:r>
    </w:p>
    <w:p w:rsidR="0027627D" w:rsidRPr="00700806" w:rsidRDefault="0027627D" w:rsidP="001704E0">
      <w:pPr>
        <w:pStyle w:val="Heading4"/>
      </w:pPr>
      <w:r>
        <w:t>What is the analysis if the agency makes a finding that no regulation is necessary on the energy use of kitchen appliances, and that finding then preempts states from passing their laws or regulations on the subject? Is this a final agency action that can be reviewed? How would you argue that this requires notice and comment, and, if so, what would need to be published in the record?</w:t>
      </w:r>
    </w:p>
    <w:p w:rsidR="005048D9" w:rsidRDefault="005048D9" w:rsidP="00075519">
      <w:pPr>
        <w:pStyle w:val="Heading3"/>
      </w:pPr>
      <w:r>
        <w:t>Factual basis for regulations</w:t>
      </w:r>
    </w:p>
    <w:p w:rsidR="005048D9" w:rsidRDefault="005048D9" w:rsidP="00075519">
      <w:pPr>
        <w:pStyle w:val="Heading4"/>
      </w:pPr>
      <w:r>
        <w:t xml:space="preserve">The </w:t>
      </w:r>
      <w:r w:rsidRPr="00833370">
        <w:t xml:space="preserve">OSHA bloodborne pathogens rule </w:t>
      </w:r>
      <w:r>
        <w:t>r</w:t>
      </w:r>
      <w:r w:rsidRPr="00833370">
        <w:t>equires universal precautions in all health care workplaces</w:t>
      </w:r>
    </w:p>
    <w:p w:rsidR="005048D9" w:rsidRDefault="005048D9" w:rsidP="00075519">
      <w:pPr>
        <w:pStyle w:val="Heading5"/>
      </w:pPr>
      <w:r>
        <w:lastRenderedPageBreak/>
        <w:t xml:space="preserve">Dentists said that there was no specific </w:t>
      </w:r>
      <w:proofErr w:type="spellStart"/>
      <w:r>
        <w:t>factfinding</w:t>
      </w:r>
      <w:proofErr w:type="spellEnd"/>
      <w:r>
        <w:t xml:space="preserve"> about the risks in dentistry.</w:t>
      </w:r>
    </w:p>
    <w:p w:rsidR="005048D9" w:rsidRDefault="005048D9" w:rsidP="00075519">
      <w:pPr>
        <w:pStyle w:val="Heading5"/>
      </w:pPr>
      <w:r>
        <w:t xml:space="preserve">How did the court resolve the allegation that </w:t>
      </w:r>
      <w:r w:rsidR="00075519">
        <w:t xml:space="preserve">it was </w:t>
      </w:r>
      <w:r>
        <w:t>arbitrary and capricious</w:t>
      </w:r>
      <w:r w:rsidR="00075519">
        <w:t xml:space="preserve"> to make a rule covering dental practice without providing specific factual information about dentists</w:t>
      </w:r>
      <w:r>
        <w:t>?</w:t>
      </w:r>
    </w:p>
    <w:p w:rsidR="00075519" w:rsidRDefault="005E6E26" w:rsidP="00075519">
      <w:pPr>
        <w:pStyle w:val="Heading4"/>
      </w:pPr>
      <w:r>
        <w:t xml:space="preserve">The same </w:t>
      </w:r>
      <w:r w:rsidRPr="00833370">
        <w:t>bloodborne pathogens rule</w:t>
      </w:r>
      <w:r>
        <w:t xml:space="preserve"> requires the employer to control several risks in the workplace. Home health agencies, which are covered by the rule, argue that they do not control the workplace since it is the patient’s home.</w:t>
      </w:r>
    </w:p>
    <w:p w:rsidR="005E6E26" w:rsidRDefault="005E6E26" w:rsidP="005E6E26">
      <w:pPr>
        <w:pStyle w:val="Heading5"/>
      </w:pPr>
      <w:r>
        <w:t>How does this make the rule arbitrary and capricious as to them?</w:t>
      </w:r>
    </w:p>
    <w:p w:rsidR="005E6E26" w:rsidRDefault="005E6E26" w:rsidP="005E6E26">
      <w:pPr>
        <w:pStyle w:val="Heading5"/>
      </w:pPr>
      <w:r>
        <w:t>Can the agency cure this promising not to enforce the rule for home health care agencies?</w:t>
      </w:r>
    </w:p>
    <w:p w:rsidR="005E6E26" w:rsidRDefault="005E6E26" w:rsidP="005E6E26">
      <w:pPr>
        <w:pStyle w:val="Heading5"/>
      </w:pPr>
      <w:r>
        <w:t>What would you argue as the home health care agency lawyer when presented with this offer?</w:t>
      </w:r>
    </w:p>
    <w:p w:rsidR="005048D9" w:rsidRDefault="005048D9" w:rsidP="0079722B">
      <w:pPr>
        <w:pStyle w:val="Heading2"/>
      </w:pPr>
    </w:p>
    <w:sectPr w:rsidR="00504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outline"/>
  <w:zoom w:percent="150"/>
  <w:proofState w:spelling="clean" w:grammar="clean"/>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30"/>
    <w:rsid w:val="00042CFA"/>
    <w:rsid w:val="00075519"/>
    <w:rsid w:val="000A0BBB"/>
    <w:rsid w:val="00133D7C"/>
    <w:rsid w:val="00165EA3"/>
    <w:rsid w:val="001704E0"/>
    <w:rsid w:val="001A7F53"/>
    <w:rsid w:val="001F1708"/>
    <w:rsid w:val="0027627D"/>
    <w:rsid w:val="00295984"/>
    <w:rsid w:val="002D1469"/>
    <w:rsid w:val="002E1F98"/>
    <w:rsid w:val="0038557D"/>
    <w:rsid w:val="00385F52"/>
    <w:rsid w:val="003C2786"/>
    <w:rsid w:val="003E4D39"/>
    <w:rsid w:val="004101C7"/>
    <w:rsid w:val="00461CA7"/>
    <w:rsid w:val="004B3E48"/>
    <w:rsid w:val="005048D9"/>
    <w:rsid w:val="005372A0"/>
    <w:rsid w:val="00553389"/>
    <w:rsid w:val="0055578E"/>
    <w:rsid w:val="0059457B"/>
    <w:rsid w:val="005A2501"/>
    <w:rsid w:val="005E6E26"/>
    <w:rsid w:val="00622962"/>
    <w:rsid w:val="00647A90"/>
    <w:rsid w:val="006963B2"/>
    <w:rsid w:val="006E3DD8"/>
    <w:rsid w:val="006E50D0"/>
    <w:rsid w:val="006E56B7"/>
    <w:rsid w:val="0079722B"/>
    <w:rsid w:val="007F2A0D"/>
    <w:rsid w:val="0081120A"/>
    <w:rsid w:val="00832583"/>
    <w:rsid w:val="00842F4B"/>
    <w:rsid w:val="008E4CD1"/>
    <w:rsid w:val="009805F8"/>
    <w:rsid w:val="00A34BBC"/>
    <w:rsid w:val="00B23D25"/>
    <w:rsid w:val="00B4717E"/>
    <w:rsid w:val="00BA241B"/>
    <w:rsid w:val="00BC4A4C"/>
    <w:rsid w:val="00C54CF6"/>
    <w:rsid w:val="00C97F16"/>
    <w:rsid w:val="00D439FB"/>
    <w:rsid w:val="00D86D6D"/>
    <w:rsid w:val="00D95C30"/>
    <w:rsid w:val="00DF38A4"/>
    <w:rsid w:val="00E411F5"/>
    <w:rsid w:val="00E85EF7"/>
    <w:rsid w:val="00EA6467"/>
    <w:rsid w:val="00F444E0"/>
    <w:rsid w:val="00F70EFC"/>
    <w:rsid w:val="00FB2169"/>
    <w:rsid w:val="00FE3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2662C"/>
  <w15:docId w15:val="{51E7E12A-A1D0-4D1C-9249-7D92D8F3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6467"/>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EA6467"/>
    <w:pPr>
      <w:widowControl w:val="0"/>
      <w:spacing w:before="240"/>
      <w:outlineLvl w:val="0"/>
    </w:pPr>
    <w:rPr>
      <w:b/>
    </w:rPr>
  </w:style>
  <w:style w:type="paragraph" w:styleId="Heading2">
    <w:name w:val="heading 2"/>
    <w:basedOn w:val="Heading1"/>
    <w:next w:val="Heading3"/>
    <w:link w:val="Heading2Char"/>
    <w:qFormat/>
    <w:rsid w:val="00EA6467"/>
    <w:pPr>
      <w:ind w:left="360"/>
      <w:outlineLvl w:val="1"/>
    </w:pPr>
  </w:style>
  <w:style w:type="paragraph" w:styleId="Heading3">
    <w:name w:val="heading 3"/>
    <w:basedOn w:val="Heading2"/>
    <w:next w:val="BodyText"/>
    <w:link w:val="Heading3Char"/>
    <w:qFormat/>
    <w:rsid w:val="00EA6467"/>
    <w:pPr>
      <w:ind w:left="720"/>
      <w:outlineLvl w:val="2"/>
    </w:pPr>
    <w:rPr>
      <w:szCs w:val="24"/>
    </w:rPr>
  </w:style>
  <w:style w:type="paragraph" w:styleId="Heading4">
    <w:name w:val="heading 4"/>
    <w:basedOn w:val="Heading3"/>
    <w:next w:val="BodyText"/>
    <w:link w:val="Heading4Char"/>
    <w:qFormat/>
    <w:rsid w:val="00EA6467"/>
    <w:pPr>
      <w:ind w:left="1080"/>
      <w:outlineLvl w:val="3"/>
    </w:pPr>
  </w:style>
  <w:style w:type="paragraph" w:styleId="Heading5">
    <w:name w:val="heading 5"/>
    <w:basedOn w:val="Heading4"/>
    <w:next w:val="BodyText"/>
    <w:link w:val="Heading5Char"/>
    <w:qFormat/>
    <w:rsid w:val="00EA6467"/>
    <w:pPr>
      <w:ind w:left="1440"/>
      <w:outlineLvl w:val="4"/>
    </w:pPr>
  </w:style>
  <w:style w:type="paragraph" w:styleId="Heading6">
    <w:name w:val="heading 6"/>
    <w:basedOn w:val="Heading5"/>
    <w:next w:val="BodyText"/>
    <w:link w:val="Heading6Char"/>
    <w:qFormat/>
    <w:rsid w:val="00EA6467"/>
    <w:pPr>
      <w:outlineLvl w:val="5"/>
    </w:pPr>
  </w:style>
  <w:style w:type="paragraph" w:styleId="Heading7">
    <w:name w:val="heading 7"/>
    <w:basedOn w:val="Heading6"/>
    <w:next w:val="BodyText"/>
    <w:link w:val="Heading7Char"/>
    <w:qFormat/>
    <w:rsid w:val="00EA6467"/>
    <w:pPr>
      <w:outlineLvl w:val="6"/>
    </w:pPr>
  </w:style>
  <w:style w:type="paragraph" w:styleId="Heading8">
    <w:name w:val="heading 8"/>
    <w:basedOn w:val="Heading7"/>
    <w:next w:val="BodyText"/>
    <w:link w:val="Heading8Char"/>
    <w:qFormat/>
    <w:rsid w:val="00EA6467"/>
    <w:pPr>
      <w:outlineLvl w:val="7"/>
    </w:pPr>
    <w:rPr>
      <w:i/>
    </w:rPr>
  </w:style>
  <w:style w:type="paragraph" w:styleId="Heading9">
    <w:name w:val="heading 9"/>
    <w:basedOn w:val="Heading8"/>
    <w:next w:val="BodyText"/>
    <w:link w:val="Heading9Char"/>
    <w:qFormat/>
    <w:rsid w:val="00EA6467"/>
    <w:pPr>
      <w:outlineLvl w:val="8"/>
    </w:pPr>
    <w:rPr>
      <w:b w:val="0"/>
      <w:i w:val="0"/>
      <w:sz w:val="18"/>
    </w:rPr>
  </w:style>
  <w:style w:type="character" w:default="1" w:styleId="DefaultParagraphFont">
    <w:name w:val="Default Paragraph Font"/>
    <w:uiPriority w:val="1"/>
    <w:semiHidden/>
    <w:unhideWhenUsed/>
    <w:rsid w:val="00EA646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6467"/>
  </w:style>
  <w:style w:type="character" w:customStyle="1" w:styleId="Heading6Char">
    <w:name w:val="Heading 6 Char"/>
    <w:basedOn w:val="DefaultParagraphFont"/>
    <w:link w:val="Heading6"/>
    <w:rsid w:val="00EA6467"/>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EA6467"/>
    <w:rPr>
      <w:rFonts w:ascii="Times New Roman" w:eastAsia="Times New Roman" w:hAnsi="Times New Roman" w:cs="Times New Roman"/>
      <w:b/>
      <w:sz w:val="24"/>
      <w:szCs w:val="24"/>
    </w:rPr>
  </w:style>
  <w:style w:type="paragraph" w:styleId="BodyText">
    <w:name w:val="Body Text"/>
    <w:basedOn w:val="basefont"/>
    <w:link w:val="BodyTextChar"/>
    <w:rsid w:val="00EA6467"/>
    <w:pPr>
      <w:spacing w:after="240"/>
    </w:pPr>
    <w:rPr>
      <w:noProof w:val="0"/>
    </w:rPr>
  </w:style>
  <w:style w:type="character" w:customStyle="1" w:styleId="BodyTextChar">
    <w:name w:val="Body Text Char"/>
    <w:basedOn w:val="DefaultParagraphFont"/>
    <w:link w:val="BodyText"/>
    <w:rsid w:val="00EA6467"/>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EA6467"/>
    <w:rPr>
      <w:rFonts w:ascii="Times New Roman" w:eastAsia="Times New Roman" w:hAnsi="Times New Roman" w:cs="Times New Roman"/>
      <w:b/>
      <w:sz w:val="24"/>
      <w:szCs w:val="20"/>
    </w:rPr>
  </w:style>
  <w:style w:type="character" w:customStyle="1" w:styleId="Heading1Char">
    <w:name w:val="Heading 1 Char"/>
    <w:link w:val="Heading1"/>
    <w:rsid w:val="00EA6467"/>
    <w:rPr>
      <w:rFonts w:ascii="Times New Roman" w:eastAsia="Times New Roman" w:hAnsi="Times New Roman" w:cs="Times New Roman"/>
      <w:b/>
      <w:sz w:val="24"/>
      <w:szCs w:val="20"/>
    </w:rPr>
  </w:style>
  <w:style w:type="character" w:customStyle="1" w:styleId="Heading3Char">
    <w:name w:val="Heading 3 Char"/>
    <w:link w:val="Heading3"/>
    <w:rsid w:val="00EA6467"/>
    <w:rPr>
      <w:rFonts w:ascii="Times New Roman" w:eastAsia="Times New Roman" w:hAnsi="Times New Roman" w:cs="Times New Roman"/>
      <w:b/>
      <w:sz w:val="24"/>
      <w:szCs w:val="24"/>
    </w:rPr>
  </w:style>
  <w:style w:type="character" w:customStyle="1" w:styleId="Heading4Char">
    <w:name w:val="Heading 4 Char"/>
    <w:link w:val="Heading4"/>
    <w:rsid w:val="00EA6467"/>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EA6467"/>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EA6467"/>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EA6467"/>
    <w:rPr>
      <w:rFonts w:ascii="Times New Roman" w:eastAsia="Times New Roman" w:hAnsi="Times New Roman" w:cs="Times New Roman"/>
      <w:sz w:val="18"/>
      <w:szCs w:val="24"/>
    </w:rPr>
  </w:style>
  <w:style w:type="character" w:styleId="EndnoteReference">
    <w:name w:val="endnote reference"/>
    <w:basedOn w:val="DefaultParagraphFont"/>
    <w:rsid w:val="00EA6467"/>
    <w:rPr>
      <w:rFonts w:ascii="Times New Roman" w:hAnsi="Times New Roman"/>
      <w:vertAlign w:val="superscript"/>
    </w:rPr>
  </w:style>
  <w:style w:type="paragraph" w:styleId="EndnoteText">
    <w:name w:val="endnote text"/>
    <w:basedOn w:val="Normal"/>
    <w:link w:val="EndnoteTextChar"/>
    <w:rsid w:val="00EA6467"/>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EA6467"/>
    <w:pPr>
      <w:jc w:val="center"/>
    </w:pPr>
  </w:style>
  <w:style w:type="character" w:styleId="FootnoteReference">
    <w:name w:val="footnote reference"/>
    <w:aliases w:val="FN Reference"/>
    <w:basedOn w:val="DefaultParagraphFont"/>
    <w:qFormat/>
    <w:rsid w:val="00EA6467"/>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EA6467"/>
    <w:pPr>
      <w:spacing w:after="120"/>
    </w:pPr>
    <w:rPr>
      <w:rFonts w:cs="Courier"/>
      <w:noProof w:val="0"/>
      <w:sz w:val="20"/>
    </w:rPr>
  </w:style>
  <w:style w:type="character" w:customStyle="1" w:styleId="FootnoteTextChar">
    <w:name w:val="Footnote Text Char"/>
    <w:aliases w:val="FN Text Char"/>
    <w:basedOn w:val="DefaultParagraphFont"/>
    <w:link w:val="FootnoteText"/>
    <w:rsid w:val="00EA6467"/>
    <w:rPr>
      <w:rFonts w:ascii="Times New Roman" w:eastAsia="Times New Roman" w:hAnsi="Times New Roman" w:cs="Courier"/>
      <w:sz w:val="20"/>
      <w:szCs w:val="20"/>
    </w:rPr>
  </w:style>
  <w:style w:type="paragraph" w:styleId="BlockText">
    <w:name w:val="Block Text"/>
    <w:basedOn w:val="Normal"/>
    <w:rsid w:val="00EA6467"/>
    <w:pPr>
      <w:spacing w:after="120"/>
      <w:ind w:left="1440" w:right="1440"/>
    </w:pPr>
  </w:style>
  <w:style w:type="paragraph" w:customStyle="1" w:styleId="Bodytext-hidden">
    <w:name w:val="Body text - hidden"/>
    <w:basedOn w:val="BodyText"/>
    <w:rsid w:val="00EA6467"/>
    <w:rPr>
      <w:vanish/>
    </w:rPr>
  </w:style>
  <w:style w:type="paragraph" w:customStyle="1" w:styleId="Bodytext-Quote">
    <w:name w:val="Body text - Quote"/>
    <w:basedOn w:val="BodyText"/>
    <w:rsid w:val="00EA6467"/>
    <w:pPr>
      <w:ind w:left="720" w:right="720"/>
    </w:pPr>
  </w:style>
  <w:style w:type="paragraph" w:customStyle="1" w:styleId="basefont">
    <w:name w:val="base font"/>
    <w:next w:val="BodyText"/>
    <w:rsid w:val="00EA6467"/>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EA6467"/>
  </w:style>
  <w:style w:type="paragraph" w:customStyle="1" w:styleId="MMTitle">
    <w:name w:val="MM Title"/>
    <w:basedOn w:val="Title"/>
    <w:rsid w:val="00EA6467"/>
  </w:style>
  <w:style w:type="paragraph" w:styleId="Title">
    <w:name w:val="Title"/>
    <w:basedOn w:val="Normal"/>
    <w:link w:val="TitleChar"/>
    <w:qFormat/>
    <w:rsid w:val="00EA646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A6467"/>
    <w:rPr>
      <w:rFonts w:ascii="Arial" w:eastAsia="Times New Roman" w:hAnsi="Arial" w:cs="Arial"/>
      <w:b/>
      <w:bCs/>
      <w:kern w:val="28"/>
      <w:sz w:val="32"/>
      <w:szCs w:val="32"/>
    </w:rPr>
  </w:style>
  <w:style w:type="paragraph" w:customStyle="1" w:styleId="MMTopic1">
    <w:name w:val="MM Topic 1"/>
    <w:basedOn w:val="Heading1"/>
    <w:rsid w:val="00EA6467"/>
    <w:pPr>
      <w:numPr>
        <w:numId w:val="2"/>
      </w:numPr>
      <w:tabs>
        <w:tab w:val="left" w:pos="0"/>
      </w:tabs>
    </w:pPr>
  </w:style>
  <w:style w:type="paragraph" w:customStyle="1" w:styleId="MMTopic2">
    <w:name w:val="MM Topic 2"/>
    <w:basedOn w:val="Heading2"/>
    <w:rsid w:val="00EA6467"/>
    <w:pPr>
      <w:numPr>
        <w:ilvl w:val="1"/>
        <w:numId w:val="2"/>
      </w:numPr>
      <w:tabs>
        <w:tab w:val="left" w:pos="0"/>
      </w:tabs>
    </w:pPr>
  </w:style>
  <w:style w:type="paragraph" w:customStyle="1" w:styleId="MMTopic3">
    <w:name w:val="MM Topic 3"/>
    <w:basedOn w:val="Heading3"/>
    <w:rsid w:val="00EA6467"/>
    <w:pPr>
      <w:numPr>
        <w:ilvl w:val="2"/>
        <w:numId w:val="2"/>
      </w:numPr>
      <w:tabs>
        <w:tab w:val="left" w:pos="0"/>
      </w:tabs>
    </w:pPr>
  </w:style>
  <w:style w:type="paragraph" w:styleId="BalloonText">
    <w:name w:val="Balloon Text"/>
    <w:basedOn w:val="Normal"/>
    <w:link w:val="BalloonTextChar"/>
    <w:rsid w:val="00EA6467"/>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EA6467"/>
    <w:rPr>
      <w:i/>
      <w:iCs/>
    </w:rPr>
  </w:style>
  <w:style w:type="paragraph" w:customStyle="1" w:styleId="FootnoteForm">
    <w:name w:val="Footnote Form"/>
    <w:basedOn w:val="Normal"/>
    <w:rsid w:val="00EA6467"/>
    <w:pPr>
      <w:tabs>
        <w:tab w:val="right" w:pos="432"/>
        <w:tab w:val="left" w:pos="547"/>
      </w:tabs>
      <w:overflowPunct w:val="0"/>
      <w:jc w:val="both"/>
      <w:textAlignment w:val="baseline"/>
    </w:pPr>
    <w:rPr>
      <w:sz w:val="16"/>
    </w:rPr>
  </w:style>
  <w:style w:type="character" w:styleId="Hyperlink">
    <w:name w:val="Hyperlink"/>
    <w:basedOn w:val="DefaultParagraphFont"/>
    <w:rsid w:val="00EA6467"/>
    <w:rPr>
      <w:color w:val="0033FF"/>
      <w:u w:val="single"/>
    </w:rPr>
  </w:style>
  <w:style w:type="paragraph" w:styleId="Index1">
    <w:name w:val="index 1"/>
    <w:basedOn w:val="Normal"/>
    <w:next w:val="Normal"/>
    <w:autoRedefine/>
    <w:rsid w:val="00EA6467"/>
    <w:pPr>
      <w:ind w:left="240" w:hanging="240"/>
    </w:pPr>
  </w:style>
  <w:style w:type="paragraph" w:styleId="Index2">
    <w:name w:val="index 2"/>
    <w:basedOn w:val="Normal"/>
    <w:next w:val="Normal"/>
    <w:autoRedefine/>
    <w:rsid w:val="00EA6467"/>
    <w:pPr>
      <w:ind w:left="480" w:hanging="240"/>
    </w:pPr>
  </w:style>
  <w:style w:type="paragraph" w:styleId="Index3">
    <w:name w:val="index 3"/>
    <w:basedOn w:val="Normal"/>
    <w:next w:val="Normal"/>
    <w:autoRedefine/>
    <w:rsid w:val="00EA6467"/>
    <w:pPr>
      <w:ind w:left="720" w:hanging="240"/>
    </w:pPr>
  </w:style>
  <w:style w:type="paragraph" w:styleId="Index4">
    <w:name w:val="index 4"/>
    <w:basedOn w:val="Normal"/>
    <w:next w:val="Normal"/>
    <w:autoRedefine/>
    <w:rsid w:val="00EA6467"/>
    <w:pPr>
      <w:ind w:left="960" w:hanging="240"/>
    </w:pPr>
  </w:style>
  <w:style w:type="paragraph" w:styleId="Index5">
    <w:name w:val="index 5"/>
    <w:basedOn w:val="Normal"/>
    <w:next w:val="Normal"/>
    <w:autoRedefine/>
    <w:rsid w:val="00EA6467"/>
    <w:pPr>
      <w:ind w:left="1200" w:hanging="240"/>
    </w:pPr>
  </w:style>
  <w:style w:type="paragraph" w:styleId="Index6">
    <w:name w:val="index 6"/>
    <w:basedOn w:val="Normal"/>
    <w:next w:val="Normal"/>
    <w:autoRedefine/>
    <w:rsid w:val="00EA6467"/>
    <w:pPr>
      <w:ind w:left="1440" w:hanging="240"/>
    </w:pPr>
  </w:style>
  <w:style w:type="paragraph" w:styleId="Index7">
    <w:name w:val="index 7"/>
    <w:basedOn w:val="Normal"/>
    <w:next w:val="Normal"/>
    <w:autoRedefine/>
    <w:rsid w:val="00EA6467"/>
    <w:pPr>
      <w:ind w:left="1680" w:hanging="240"/>
    </w:pPr>
  </w:style>
  <w:style w:type="paragraph" w:styleId="Index8">
    <w:name w:val="index 8"/>
    <w:basedOn w:val="Normal"/>
    <w:next w:val="Normal"/>
    <w:autoRedefine/>
    <w:rsid w:val="00EA6467"/>
    <w:pPr>
      <w:ind w:left="1920" w:hanging="240"/>
    </w:pPr>
  </w:style>
  <w:style w:type="paragraph" w:styleId="Index9">
    <w:name w:val="index 9"/>
    <w:basedOn w:val="Normal"/>
    <w:next w:val="Normal"/>
    <w:autoRedefine/>
    <w:rsid w:val="00EA6467"/>
    <w:pPr>
      <w:ind w:left="2160" w:hanging="240"/>
    </w:pPr>
  </w:style>
  <w:style w:type="paragraph" w:styleId="IndexHeading">
    <w:name w:val="index heading"/>
    <w:basedOn w:val="Normal"/>
    <w:next w:val="Index1"/>
    <w:rsid w:val="00EA6467"/>
    <w:rPr>
      <w:rFonts w:ascii="Arial" w:hAnsi="Arial" w:cs="Arial"/>
      <w:b/>
      <w:bCs/>
    </w:rPr>
  </w:style>
  <w:style w:type="paragraph" w:styleId="NormalWeb">
    <w:name w:val="Normal (Web)"/>
    <w:basedOn w:val="Normal"/>
    <w:rsid w:val="00EA6467"/>
    <w:pPr>
      <w:spacing w:before="100" w:beforeAutospacing="1" w:after="100" w:afterAutospacing="1"/>
    </w:pPr>
    <w:rPr>
      <w:szCs w:val="24"/>
    </w:rPr>
  </w:style>
  <w:style w:type="paragraph" w:styleId="PlainText">
    <w:name w:val="Plain Text"/>
    <w:basedOn w:val="Normal"/>
    <w:link w:val="PlainTextChar"/>
    <w:rsid w:val="00EA6467"/>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EA6467"/>
    <w:pPr>
      <w:spacing w:after="0" w:line="240" w:lineRule="auto"/>
    </w:pPr>
    <w:rPr>
      <w:rFonts w:ascii="Cambria" w:eastAsia="Cambria" w:hAnsi="Cambria" w:cs="Times New Roman"/>
    </w:rPr>
  </w:style>
  <w:style w:type="paragraph" w:customStyle="1" w:styleId="chapter">
    <w:name w:val="chapter"/>
    <w:basedOn w:val="Normal"/>
    <w:qFormat/>
    <w:rsid w:val="00EA6467"/>
    <w:pPr>
      <w:jc w:val="center"/>
    </w:pPr>
    <w:rPr>
      <w:sz w:val="28"/>
    </w:rPr>
  </w:style>
  <w:style w:type="paragraph" w:styleId="ListParagraph">
    <w:name w:val="List Paragraph"/>
    <w:basedOn w:val="Normal"/>
    <w:uiPriority w:val="34"/>
    <w:qFormat/>
    <w:rsid w:val="00EA6467"/>
    <w:pPr>
      <w:ind w:left="720"/>
      <w:contextualSpacing/>
    </w:pPr>
  </w:style>
  <w:style w:type="paragraph" w:customStyle="1" w:styleId="StyleHeading114ptItalic">
    <w:name w:val="Style Heading 1 + 14 pt Italic"/>
    <w:basedOn w:val="Heading1"/>
    <w:rsid w:val="00EA6467"/>
    <w:rPr>
      <w:b w:val="0"/>
      <w:bCs/>
      <w:i/>
      <w:iCs/>
      <w:sz w:val="28"/>
    </w:rPr>
  </w:style>
  <w:style w:type="paragraph" w:customStyle="1" w:styleId="StyleHeading3Georgia">
    <w:name w:val="Style Heading 3 + Georgia"/>
    <w:basedOn w:val="Heading3"/>
    <w:rsid w:val="00EA6467"/>
    <w:rPr>
      <w:rFonts w:ascii="Georgia" w:hAnsi="Georgia"/>
      <w:b w:val="0"/>
      <w:bCs/>
    </w:rPr>
  </w:style>
  <w:style w:type="paragraph" w:customStyle="1" w:styleId="Hidden">
    <w:name w:val="Hidden"/>
    <w:basedOn w:val="basefont"/>
    <w:rsid w:val="00EA6467"/>
    <w:pPr>
      <w:spacing w:after="100" w:afterAutospacing="1"/>
    </w:pPr>
    <w:rPr>
      <w:i/>
      <w:vanish/>
    </w:rPr>
  </w:style>
  <w:style w:type="paragraph" w:customStyle="1" w:styleId="Quote-Bodytext">
    <w:name w:val="Quote - Body text"/>
    <w:basedOn w:val="BodyText"/>
    <w:qFormat/>
    <w:rsid w:val="00EA6467"/>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46</TotalTime>
  <Pages>7</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P Richards</cp:lastModifiedBy>
  <cp:revision>9</cp:revision>
  <dcterms:created xsi:type="dcterms:W3CDTF">2017-04-04T15:21:00Z</dcterms:created>
  <dcterms:modified xsi:type="dcterms:W3CDTF">2017-04-09T20:18:00Z</dcterms:modified>
</cp:coreProperties>
</file>