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B05E2" w14:textId="17B6E3B0" w:rsidR="003E09FC" w:rsidRPr="00E97CAF" w:rsidRDefault="003E09FC" w:rsidP="00E40F72">
      <w:pPr>
        <w:pStyle w:val="Heading1"/>
        <w:spacing w:before="0" w:after="120"/>
      </w:pPr>
      <w:r w:rsidRPr="00E97CAF">
        <w:t>In re Katrina Canal Breaches Consolidated Litigation, 647 F.Supp.2d 644 (E.D.La. 2009)</w:t>
      </w:r>
      <w:r w:rsidR="000511E9">
        <w:br/>
        <w:t>(best viewed in Word outline mode.)</w:t>
      </w:r>
    </w:p>
    <w:p w14:paraId="0E3D6295" w14:textId="77777777" w:rsidR="003E09FC" w:rsidRPr="00E97CAF" w:rsidRDefault="003E09FC" w:rsidP="00E40F72">
      <w:pPr>
        <w:pStyle w:val="Heading2"/>
        <w:spacing w:before="0" w:after="120"/>
        <w:ind w:left="0"/>
      </w:pPr>
      <w:r w:rsidRPr="00E97CAF">
        <w:t>The government defended this case on immunity and presented only limited expert testimony to rebut the facts.</w:t>
      </w:r>
    </w:p>
    <w:p w14:paraId="63FB9970" w14:textId="77777777" w:rsidR="003E09FC" w:rsidRPr="00E97CAF" w:rsidRDefault="003E09FC" w:rsidP="00E40F72">
      <w:pPr>
        <w:pStyle w:val="Heading2"/>
        <w:spacing w:before="0" w:after="120"/>
        <w:ind w:left="0"/>
      </w:pPr>
      <w:r w:rsidRPr="00E97CAF">
        <w:t>The Court recognizes that it must distinguish this case from the 17th St. Canal cases. It comes up with the rationale on the next slide. (P2 in the case)</w:t>
      </w:r>
    </w:p>
    <w:p w14:paraId="463A3714" w14:textId="77777777" w:rsidR="003E09FC" w:rsidRPr="00E97CAF" w:rsidRDefault="003E09FC" w:rsidP="00E40F72">
      <w:pPr>
        <w:pStyle w:val="Heading1"/>
        <w:spacing w:before="0" w:after="120"/>
      </w:pPr>
      <w:r w:rsidRPr="00E97CAF">
        <w:t>The Rationale</w:t>
      </w:r>
    </w:p>
    <w:p w14:paraId="425FC87E" w14:textId="77777777" w:rsidR="003E09FC" w:rsidRPr="00E97CAF" w:rsidRDefault="003E09FC" w:rsidP="00E40F72">
      <w:pPr>
        <w:pStyle w:val="Heading2"/>
        <w:spacing w:before="0" w:after="120"/>
        <w:ind w:left="0"/>
      </w:pPr>
      <w:r w:rsidRPr="00E97CAF">
        <w:t xml:space="preserve">“For example, would the United States be immune for all damages if a Navy vessel lost control and broke through a levee where the sole cause of the failure of that levee was the Navy vessel’s negligence? </w:t>
      </w:r>
    </w:p>
    <w:p w14:paraId="6F9B5586" w14:textId="77777777" w:rsidR="003E09FC" w:rsidRPr="00E97CAF" w:rsidRDefault="003E09FC" w:rsidP="00E40F72">
      <w:pPr>
        <w:pStyle w:val="Heading2"/>
        <w:spacing w:before="0" w:after="120"/>
        <w:ind w:left="0"/>
      </w:pPr>
      <w:r w:rsidRPr="00E97CAF">
        <w:t>Thus contrary to the Government’s contention that Central Green broadens the immunity provided by § 702c, in realty Central Green requires the Court to identify the cause of the damage rather than base a decision on the mere fact that a flood control project was involved. Central Green does not answer the question of what nexus to a flood control project is required for floodwaters to trigger immunity.”</w:t>
      </w:r>
    </w:p>
    <w:p w14:paraId="352CE805" w14:textId="77777777" w:rsidR="003E09FC" w:rsidRPr="00E97CAF" w:rsidRDefault="003E09FC" w:rsidP="00E40F72">
      <w:pPr>
        <w:pStyle w:val="Heading1"/>
        <w:spacing w:before="0" w:after="120"/>
      </w:pPr>
      <w:r w:rsidRPr="00E97CAF">
        <w:t>Reading Central Green</w:t>
      </w:r>
    </w:p>
    <w:p w14:paraId="16CDE8DA" w14:textId="77777777" w:rsidR="003E09FC" w:rsidRPr="00E97CAF" w:rsidRDefault="003E09FC" w:rsidP="00E40F72">
      <w:pPr>
        <w:pStyle w:val="Heading2"/>
        <w:spacing w:before="0" w:after="120"/>
        <w:ind w:left="0"/>
      </w:pPr>
      <w:r w:rsidRPr="00E97CAF">
        <w:t>"... in realty Central Green requires the Court to identify the cause of the damage rather than base a decision on the mere fact that a flood control project was involved.."</w:t>
      </w:r>
    </w:p>
    <w:p w14:paraId="746AAF49" w14:textId="77777777" w:rsidR="003E09FC" w:rsidRPr="00E97CAF" w:rsidRDefault="003E09FC" w:rsidP="00E40F72">
      <w:pPr>
        <w:pStyle w:val="Heading2"/>
        <w:spacing w:before="0" w:after="120"/>
        <w:ind w:left="0"/>
      </w:pPr>
      <w:r w:rsidRPr="00E97CAF">
        <w:t>Was that really the key holding in Central Green?</w:t>
      </w:r>
    </w:p>
    <w:p w14:paraId="3BD37749" w14:textId="77777777" w:rsidR="003E09FC" w:rsidRPr="00E97CAF" w:rsidRDefault="003E09FC" w:rsidP="00E40F72">
      <w:pPr>
        <w:pStyle w:val="Heading3"/>
        <w:spacing w:before="0" w:after="120"/>
      </w:pPr>
      <w:r w:rsidRPr="00E97CAF">
        <w:t>Accordingly, in determining whether §702c immunity attaches, courts should consider the character of the waters that cause the relevant damage rather than the relation between that damage and a flood control project. (par 53)</w:t>
      </w:r>
    </w:p>
    <w:p w14:paraId="3A93F76C" w14:textId="77777777" w:rsidR="003E09FC" w:rsidRPr="00E97CAF" w:rsidRDefault="003E09FC" w:rsidP="00E40F72">
      <w:pPr>
        <w:pStyle w:val="Heading2"/>
        <w:spacing w:before="0" w:after="120"/>
        <w:ind w:left="0"/>
      </w:pPr>
      <w:r w:rsidRPr="00E97CAF">
        <w:t>What caused the hypothetical ship to breach the levee?</w:t>
      </w:r>
    </w:p>
    <w:p w14:paraId="5987C426" w14:textId="77777777" w:rsidR="003E09FC" w:rsidRPr="00E97CAF" w:rsidRDefault="003E09FC" w:rsidP="00E40F72">
      <w:pPr>
        <w:pStyle w:val="Heading2"/>
        <w:spacing w:before="0" w:after="120"/>
        <w:ind w:left="0"/>
      </w:pPr>
      <w:r w:rsidRPr="00E97CAF">
        <w:t>What caused the damage once the levee was breached?</w:t>
      </w:r>
    </w:p>
    <w:p w14:paraId="487CBE72" w14:textId="77777777" w:rsidR="003E09FC" w:rsidRPr="00E97CAF" w:rsidRDefault="003E09FC" w:rsidP="00E40F72">
      <w:pPr>
        <w:pStyle w:val="Heading2"/>
        <w:spacing w:before="0" w:after="120"/>
        <w:ind w:left="0"/>
      </w:pPr>
      <w:r w:rsidRPr="00E97CAF">
        <w:t>Why would this be different at 17th Street?</w:t>
      </w:r>
    </w:p>
    <w:p w14:paraId="74A2F0AE" w14:textId="77777777" w:rsidR="003E09FC" w:rsidRPr="00E97CAF" w:rsidRDefault="003E09FC" w:rsidP="00E40F72">
      <w:pPr>
        <w:pStyle w:val="Heading1"/>
        <w:spacing w:before="0" w:after="120"/>
      </w:pPr>
      <w:r w:rsidRPr="00E97CAF">
        <w:t>MRGO</w:t>
      </w:r>
    </w:p>
    <w:p w14:paraId="29F8382D" w14:textId="77777777" w:rsidR="003E09FC" w:rsidRPr="00E97CAF" w:rsidRDefault="003E09FC" w:rsidP="00E40F72">
      <w:pPr>
        <w:pStyle w:val="Heading2"/>
        <w:spacing w:before="0" w:after="120"/>
        <w:ind w:left="0"/>
      </w:pPr>
      <w:r w:rsidRPr="00E97CAF">
        <w:t>The first 10 pages discuss the history of the MRGO and outline the construction of the levees between the MRGO and the city</w:t>
      </w:r>
    </w:p>
    <w:p w14:paraId="328FDEA8" w14:textId="77777777" w:rsidR="003E09FC" w:rsidRPr="00E97CAF" w:rsidRDefault="003E09FC" w:rsidP="00E40F72">
      <w:pPr>
        <w:pStyle w:val="Heading2"/>
        <w:spacing w:before="0" w:after="120"/>
        <w:ind w:left="0"/>
      </w:pPr>
      <w:r w:rsidRPr="00E97CAF">
        <w:t>Sec. 3, p10, begins the discussion of how MRGO increased the likelihood of a flood and what the Corps knew about this.</w:t>
      </w:r>
    </w:p>
    <w:p w14:paraId="545D915F" w14:textId="77777777" w:rsidR="003E09FC" w:rsidRPr="00E97CAF" w:rsidRDefault="003E09FC" w:rsidP="00E40F72">
      <w:pPr>
        <w:pStyle w:val="Heading3"/>
        <w:spacing w:before="0" w:after="120"/>
      </w:pPr>
      <w:r w:rsidRPr="00E97CAF">
        <w:t>Remember, there is nothing objective in this opinion, the court only has information from the briefs of the parties, and only uses what it chooses.</w:t>
      </w:r>
    </w:p>
    <w:p w14:paraId="249EC826" w14:textId="77777777" w:rsidR="003E09FC" w:rsidRPr="00E97CAF" w:rsidRDefault="003E09FC" w:rsidP="00E40F72">
      <w:pPr>
        <w:pStyle w:val="Heading1"/>
        <w:spacing w:before="0" w:after="120"/>
      </w:pPr>
      <w:r w:rsidRPr="00E97CAF">
        <w:t>What did the Corps Know?</w:t>
      </w:r>
    </w:p>
    <w:p w14:paraId="7A711D16" w14:textId="77777777" w:rsidR="003E09FC" w:rsidRPr="00E97CAF" w:rsidRDefault="003E09FC" w:rsidP="00E40F72">
      <w:pPr>
        <w:pStyle w:val="Heading2"/>
        <w:spacing w:before="0" w:after="120"/>
        <w:ind w:left="0"/>
      </w:pPr>
      <w:r w:rsidRPr="00E97CAF">
        <w:t>Is this relevant to FCA immunity?</w:t>
      </w:r>
    </w:p>
    <w:p w14:paraId="6075D98A" w14:textId="77777777" w:rsidR="003E09FC" w:rsidRPr="00E97CAF" w:rsidRDefault="003E09FC" w:rsidP="00E40F72">
      <w:pPr>
        <w:pStyle w:val="Heading2"/>
        <w:spacing w:before="0" w:after="120"/>
        <w:ind w:left="0"/>
      </w:pPr>
      <w:r w:rsidRPr="00E97CAF">
        <w:t>The court is trying to bootstrap FTCA liability by using the Corps knowledge to create a theory of a non-flood control project error that would not be subject to FCA immunity.</w:t>
      </w:r>
    </w:p>
    <w:p w14:paraId="24276969" w14:textId="77777777" w:rsidR="003E09FC" w:rsidRPr="00E97CAF" w:rsidRDefault="003E09FC" w:rsidP="00E40F72">
      <w:pPr>
        <w:pStyle w:val="Heading2"/>
        <w:spacing w:before="0" w:after="120"/>
        <w:ind w:left="0"/>
      </w:pPr>
      <w:r w:rsidRPr="00E97CAF">
        <w:t>What is the balance between showing what the Corps knows and succeeding in defeating the discretionary function defense?</w:t>
      </w:r>
    </w:p>
    <w:p w14:paraId="1703B8AA" w14:textId="77777777" w:rsidR="003E09FC" w:rsidRPr="00E97CAF" w:rsidRDefault="003E09FC" w:rsidP="00E40F72">
      <w:pPr>
        <w:pStyle w:val="Heading2"/>
        <w:spacing w:before="0" w:after="120"/>
        <w:ind w:left="0"/>
      </w:pPr>
      <w:r w:rsidRPr="00E97CAF">
        <w:lastRenderedPageBreak/>
        <w:t>What does Berkowitz tell us is the best way to defeat the defense?</w:t>
      </w:r>
    </w:p>
    <w:p w14:paraId="04D00B3B" w14:textId="77777777" w:rsidR="003E09FC" w:rsidRPr="00E97CAF" w:rsidRDefault="003E09FC" w:rsidP="00E40F72">
      <w:pPr>
        <w:pStyle w:val="Heading1"/>
        <w:spacing w:before="0" w:after="120"/>
      </w:pPr>
      <w:r w:rsidRPr="00E97CAF">
        <w:t>The Erosion of MRGO</w:t>
      </w:r>
    </w:p>
    <w:p w14:paraId="3C4B9620" w14:textId="77777777" w:rsidR="003E09FC" w:rsidRPr="00E97CAF" w:rsidRDefault="003E09FC" w:rsidP="00E40F72">
      <w:pPr>
        <w:pStyle w:val="Heading2"/>
        <w:spacing w:before="0" w:after="120"/>
        <w:ind w:left="0"/>
      </w:pPr>
      <w:r w:rsidRPr="00E97CAF">
        <w:t>A key notion in the attack on the FCA immunity is that the real issue is the improper maintenance of MRGO.</w:t>
      </w:r>
    </w:p>
    <w:p w14:paraId="3ACB0C3D" w14:textId="77777777" w:rsidR="003E09FC" w:rsidRPr="00E97CAF" w:rsidRDefault="003E09FC" w:rsidP="00E40F72">
      <w:pPr>
        <w:pStyle w:val="Heading2"/>
        <w:spacing w:before="0" w:after="120"/>
        <w:ind w:left="0"/>
      </w:pPr>
      <w:r w:rsidRPr="00E97CAF">
        <w:t>According to the court, waves pushed by sea going vessels are a major source of this erosion.</w:t>
      </w:r>
    </w:p>
    <w:p w14:paraId="1AA145FF" w14:textId="77777777" w:rsidR="003E09FC" w:rsidRPr="00E97CAF" w:rsidRDefault="003E09FC" w:rsidP="00E40F72">
      <w:pPr>
        <w:pStyle w:val="Heading3"/>
        <w:spacing w:before="0" w:after="120"/>
      </w:pPr>
      <w:r w:rsidRPr="00E97CAF">
        <w:t>P 14 has evidence of this erosion presented by the Corps</w:t>
      </w:r>
    </w:p>
    <w:p w14:paraId="38070634" w14:textId="77777777" w:rsidR="003E09FC" w:rsidRPr="00E97CAF" w:rsidRDefault="003E09FC" w:rsidP="00E40F72">
      <w:pPr>
        <w:pStyle w:val="Heading3"/>
        <w:spacing w:before="0" w:after="120"/>
      </w:pPr>
      <w:r w:rsidRPr="00E97CAF">
        <w:t>This establishes that the Corps knew this</w:t>
      </w:r>
    </w:p>
    <w:p w14:paraId="0085C612" w14:textId="77777777" w:rsidR="003E09FC" w:rsidRPr="00E97CAF" w:rsidRDefault="003E09FC" w:rsidP="00E40F72">
      <w:pPr>
        <w:pStyle w:val="Heading1"/>
        <w:spacing w:before="0" w:after="120"/>
      </w:pPr>
      <w:r w:rsidRPr="00E97CAF">
        <w:t>Armoring MRGO</w:t>
      </w:r>
    </w:p>
    <w:p w14:paraId="270C5777" w14:textId="77777777" w:rsidR="003E09FC" w:rsidRPr="00E97CAF" w:rsidRDefault="003E09FC" w:rsidP="00E40F72">
      <w:pPr>
        <w:pStyle w:val="Heading2"/>
        <w:spacing w:before="0" w:after="120"/>
        <w:ind w:left="0"/>
      </w:pPr>
      <w:r w:rsidRPr="00E97CAF">
        <w:t>The plaintiffs argue, and the court buys this, that the Corps had a duty to put riprap along the navigation channel to prevent erosion.</w:t>
      </w:r>
    </w:p>
    <w:p w14:paraId="1F84292E" w14:textId="77777777" w:rsidR="003E09FC" w:rsidRPr="00E97CAF" w:rsidRDefault="003E09FC" w:rsidP="00E40F72">
      <w:pPr>
        <w:pStyle w:val="Heading3"/>
        <w:spacing w:before="0" w:after="120"/>
      </w:pPr>
      <w:r w:rsidRPr="00E97CAF">
        <w:t>Why might the Corps not do this?</w:t>
      </w:r>
    </w:p>
    <w:p w14:paraId="2C2C8A7D" w14:textId="079AC9FB" w:rsidR="003E09FC" w:rsidRPr="00E97CAF" w:rsidRDefault="003E09FC" w:rsidP="00E40F72">
      <w:pPr>
        <w:pStyle w:val="Heading2"/>
        <w:spacing w:before="0" w:after="120"/>
        <w:ind w:left="0"/>
      </w:pPr>
      <w:r w:rsidRPr="00E97CAF">
        <w:t xml:space="preserve">The Corps argues that armoring the MRGO was part of the decisionmaking in the Lake </w:t>
      </w:r>
      <w:r w:rsidR="001768E5" w:rsidRPr="00E97CAF">
        <w:t>Ponchartrain</w:t>
      </w:r>
      <w:r w:rsidRPr="00E97CAF">
        <w:t xml:space="preserve"> and Vicinity Hurricane Protection Plan (“LPV”).</w:t>
      </w:r>
    </w:p>
    <w:p w14:paraId="43C9A527" w14:textId="77777777" w:rsidR="003E09FC" w:rsidRPr="00E97CAF" w:rsidRDefault="003E09FC" w:rsidP="00E40F72">
      <w:pPr>
        <w:pStyle w:val="Heading2"/>
        <w:spacing w:before="0" w:after="120"/>
        <w:ind w:left="0"/>
      </w:pPr>
      <w:r w:rsidRPr="00E97CAF">
        <w:t>The Court rejects this, finding:</w:t>
      </w:r>
    </w:p>
    <w:p w14:paraId="29D1B328" w14:textId="77777777" w:rsidR="003E09FC" w:rsidRPr="00E97CAF" w:rsidRDefault="003E09FC" w:rsidP="00E40F72">
      <w:pPr>
        <w:pStyle w:val="Heading3"/>
        <w:spacing w:before="0" w:after="120"/>
      </w:pPr>
      <w:r w:rsidRPr="00E97CAF">
        <w:t>"The fact remains that the failure to provide foreshore protection worked as the Navy vessel hitting the levee."</w:t>
      </w:r>
    </w:p>
    <w:p w14:paraId="6CD2C990" w14:textId="77777777" w:rsidR="003E09FC" w:rsidRPr="00E97CAF" w:rsidRDefault="003E09FC" w:rsidP="00E40F72">
      <w:pPr>
        <w:pStyle w:val="Heading1"/>
        <w:spacing w:before="0" w:after="120"/>
      </w:pPr>
      <w:r w:rsidRPr="00E97CAF">
        <w:t>Is this a Discretionary Function?</w:t>
      </w:r>
    </w:p>
    <w:p w14:paraId="6D8B96D1" w14:textId="77777777" w:rsidR="003E09FC" w:rsidRPr="00E97CAF" w:rsidRDefault="003E09FC" w:rsidP="00E40F72">
      <w:pPr>
        <w:pStyle w:val="Heading2"/>
        <w:spacing w:before="0" w:after="120"/>
        <w:ind w:left="0"/>
      </w:pPr>
      <w:r w:rsidRPr="00E97CAF">
        <w:t>The next section of the opinion attempts to show that the Corps had a duty to armor MRGO.</w:t>
      </w:r>
    </w:p>
    <w:p w14:paraId="1F25B35C" w14:textId="77777777" w:rsidR="003E09FC" w:rsidRPr="00E97CAF" w:rsidRDefault="003E09FC" w:rsidP="00E40F72">
      <w:pPr>
        <w:pStyle w:val="Heading2"/>
        <w:spacing w:before="0" w:after="120"/>
        <w:ind w:left="0"/>
      </w:pPr>
      <w:r w:rsidRPr="00E97CAF">
        <w:t>P 25 - The court says that a Corps report acknowledged that MRGO should be armored and that the Corps failed to seek funding.</w:t>
      </w:r>
    </w:p>
    <w:p w14:paraId="045E8566" w14:textId="77777777" w:rsidR="003E09FC" w:rsidRPr="00E97CAF" w:rsidRDefault="003E09FC" w:rsidP="00E40F72">
      <w:pPr>
        <w:pStyle w:val="Heading3"/>
        <w:spacing w:before="0" w:after="120"/>
      </w:pPr>
      <w:r w:rsidRPr="00E97CAF">
        <w:t>Is seeking funding from Congress a Corps duty?</w:t>
      </w:r>
    </w:p>
    <w:p w14:paraId="39305DA4" w14:textId="77777777" w:rsidR="003E09FC" w:rsidRPr="00E97CAF" w:rsidRDefault="003E09FC" w:rsidP="00E40F72">
      <w:pPr>
        <w:pStyle w:val="Heading3"/>
        <w:spacing w:before="0" w:after="120"/>
      </w:pPr>
      <w:r w:rsidRPr="00E97CAF">
        <w:t>Can the Corps be negligent in failing to get Congress to fund a project that Congress knows all about?</w:t>
      </w:r>
    </w:p>
    <w:p w14:paraId="0F853047" w14:textId="77777777" w:rsidR="003E09FC" w:rsidRPr="00E97CAF" w:rsidRDefault="003E09FC" w:rsidP="00E40F72">
      <w:pPr>
        <w:pStyle w:val="Heading1"/>
        <w:spacing w:before="0" w:after="120"/>
      </w:pPr>
      <w:r w:rsidRPr="00E97CAF">
        <w:t>The Effect on the Flood Control Levee</w:t>
      </w:r>
    </w:p>
    <w:p w14:paraId="0399C327" w14:textId="77777777" w:rsidR="003E09FC" w:rsidRPr="00E97CAF" w:rsidRDefault="003E09FC" w:rsidP="00E40F72">
      <w:pPr>
        <w:pStyle w:val="Heading2"/>
        <w:spacing w:before="0" w:after="120"/>
        <w:ind w:left="0"/>
      </w:pPr>
      <w:r w:rsidRPr="00E97CAF">
        <w:t>From P 41-87 the court moves from the story of the failure to armor MRGO to the effect of this failure on the flood control levees.</w:t>
      </w:r>
    </w:p>
    <w:p w14:paraId="3CE05ADA" w14:textId="77777777" w:rsidR="003E09FC" w:rsidRPr="00E97CAF" w:rsidRDefault="003E09FC" w:rsidP="00E40F72">
      <w:pPr>
        <w:pStyle w:val="Heading2"/>
        <w:spacing w:before="0" w:after="120"/>
        <w:ind w:left="0"/>
      </w:pPr>
      <w:r w:rsidRPr="00E97CAF">
        <w:t>The court argues the levees were too low and had other problems because the Corps did not properly factor in effects of the eroding soil related to MRGO on the levees.</w:t>
      </w:r>
    </w:p>
    <w:p w14:paraId="060A3311" w14:textId="77777777" w:rsidR="003E09FC" w:rsidRPr="00E97CAF" w:rsidRDefault="003E09FC" w:rsidP="00E40F72">
      <w:pPr>
        <w:pStyle w:val="Heading3"/>
        <w:spacing w:before="0" w:after="120"/>
      </w:pPr>
      <w:r w:rsidRPr="00E97CAF">
        <w:t>The court is using plaintiff's geology. The real problem is subsidence, plus some sea level rise, has changed the elevations and destabilized the area.</w:t>
      </w:r>
    </w:p>
    <w:p w14:paraId="5055CCCC" w14:textId="77777777" w:rsidR="003E09FC" w:rsidRPr="00E97CAF" w:rsidRDefault="003E09FC" w:rsidP="00E40F72">
      <w:pPr>
        <w:pStyle w:val="Heading2"/>
        <w:spacing w:before="0" w:after="120"/>
        <w:ind w:left="0"/>
      </w:pPr>
      <w:r w:rsidRPr="00E97CAF">
        <w:t>What is the FCA problem with this analysis?</w:t>
      </w:r>
    </w:p>
    <w:p w14:paraId="069E7BBD" w14:textId="77777777" w:rsidR="003E09FC" w:rsidRPr="00E97CAF" w:rsidRDefault="003E09FC" w:rsidP="00E40F72">
      <w:pPr>
        <w:pStyle w:val="Heading2"/>
        <w:spacing w:before="0" w:after="120"/>
        <w:ind w:left="0"/>
      </w:pPr>
      <w:r w:rsidRPr="00E97CAF">
        <w:t>The court rejects plaintiffs' argument that the Corps had a duty to build a surge barrier</w:t>
      </w:r>
    </w:p>
    <w:p w14:paraId="08FDBC08" w14:textId="77777777" w:rsidR="003E09FC" w:rsidRPr="00E97CAF" w:rsidRDefault="003E09FC" w:rsidP="00E40F72">
      <w:pPr>
        <w:pStyle w:val="Heading3"/>
        <w:spacing w:before="0" w:after="120"/>
      </w:pPr>
      <w:r w:rsidRPr="00E97CAF">
        <w:t>The court recognizes this is an FCA issue.</w:t>
      </w:r>
    </w:p>
    <w:p w14:paraId="0923457E" w14:textId="77777777" w:rsidR="003E09FC" w:rsidRPr="00E97CAF" w:rsidRDefault="003E09FC" w:rsidP="00E40F72">
      <w:pPr>
        <w:pStyle w:val="Heading1"/>
        <w:spacing w:before="0" w:after="120"/>
      </w:pPr>
      <w:r w:rsidRPr="00E97CAF">
        <w:t>Causation</w:t>
      </w:r>
    </w:p>
    <w:p w14:paraId="292DAA4C" w14:textId="77777777" w:rsidR="003E09FC" w:rsidRPr="00E97CAF" w:rsidRDefault="003E09FC" w:rsidP="00E40F72">
      <w:pPr>
        <w:pStyle w:val="Heading2"/>
        <w:spacing w:before="0" w:after="120"/>
        <w:ind w:left="0"/>
      </w:pPr>
      <w:r w:rsidRPr="00E97CAF">
        <w:lastRenderedPageBreak/>
        <w:t>Based on the foregoing analysis, the Court finds that the Corps’ negligent failure to maintain and operate the MRGO properly was a substantial cause for the fatal breaching of the Reach 2 Levee and the subsequent catastrophic flooding of the St. Bernard Polder occurred. This Court is utterly convinced that the Corps’ failure to provide timely foreshore protection doomed the channel to grow to two to three times its design width and destroyed the banks which would have helped to protect the Reach 2 Levee from front-side wave attack as well as loss of height. In addition, the added width of the channel provided an added fetch which created a more forceful frontal wave attack on the levee.</w:t>
      </w:r>
    </w:p>
    <w:p w14:paraId="57EAEFF0" w14:textId="77777777" w:rsidR="003E09FC" w:rsidRPr="00E97CAF" w:rsidRDefault="003E09FC" w:rsidP="00E40F72">
      <w:pPr>
        <w:pStyle w:val="Heading1"/>
        <w:spacing w:before="0" w:after="120"/>
      </w:pPr>
      <w:r w:rsidRPr="00E97CAF">
        <w:t>The Navy Vessel Metaphor</w:t>
      </w:r>
    </w:p>
    <w:p w14:paraId="6B03AB38" w14:textId="77777777" w:rsidR="003E09FC" w:rsidRPr="00E97CAF" w:rsidRDefault="003E09FC" w:rsidP="00E40F72">
      <w:pPr>
        <w:pStyle w:val="Heading2"/>
        <w:spacing w:before="0" w:after="120"/>
        <w:ind w:left="0"/>
      </w:pPr>
      <w:r w:rsidRPr="00E97CAF">
        <w:t>As the court tells us at the beginning, its analysis is based on the dicta in Graci that the government might be liable if a Navy vessel having nothing to do with flood control crashed through a levee. On P 89 the ship comes in:</w:t>
      </w:r>
    </w:p>
    <w:p w14:paraId="06CC65CE" w14:textId="77777777" w:rsidR="003E09FC" w:rsidRPr="00E97CAF" w:rsidRDefault="003E09FC" w:rsidP="00E40F72">
      <w:pPr>
        <w:pStyle w:val="Heading3"/>
        <w:spacing w:before="0" w:after="120"/>
      </w:pPr>
      <w:r w:rsidRPr="00E97CAF">
        <w:t>"Finally, the white encased numbers show the pre-Katrina sill heights and the teal marks show with accuracy and specificity the effect of the Corps’ failures on its own levee–the specific breaches and the resulting sill heights. Indeed, a picture speaks a thousand words. The Corps’ “Navy vessel” devastated this levee."</w:t>
      </w:r>
    </w:p>
    <w:p w14:paraId="6A6A3705" w14:textId="77777777" w:rsidR="003E09FC" w:rsidRPr="00E97CAF" w:rsidRDefault="003E09FC" w:rsidP="00E40F72">
      <w:pPr>
        <w:pStyle w:val="Heading1"/>
        <w:spacing w:before="0" w:after="120"/>
      </w:pPr>
      <w:r w:rsidRPr="00E97CAF">
        <w:t>The Navy Vessel and Central Green</w:t>
      </w:r>
    </w:p>
    <w:p w14:paraId="07CDBAF3" w14:textId="77777777" w:rsidR="003E09FC" w:rsidRPr="00E97CAF" w:rsidRDefault="003E09FC" w:rsidP="00E40F72">
      <w:pPr>
        <w:pStyle w:val="Heading2"/>
        <w:spacing w:before="0" w:after="120"/>
        <w:ind w:left="0"/>
      </w:pPr>
      <w:r w:rsidRPr="00E97CAF">
        <w:t>What is the Navy vessel in the court's metaphor made of?</w:t>
      </w:r>
    </w:p>
    <w:p w14:paraId="7A89A09D" w14:textId="77777777" w:rsidR="003E09FC" w:rsidRPr="00E97CAF" w:rsidRDefault="003E09FC" w:rsidP="00E40F72">
      <w:pPr>
        <w:pStyle w:val="Heading2"/>
        <w:spacing w:before="0" w:after="120"/>
        <w:ind w:left="0"/>
      </w:pPr>
      <w:r w:rsidRPr="00E97CAF">
        <w:t>What did Central Green tell us was the key question in a flood control case?</w:t>
      </w:r>
    </w:p>
    <w:p w14:paraId="0CE3AAEA" w14:textId="77777777" w:rsidR="003E09FC" w:rsidRPr="00E97CAF" w:rsidRDefault="003E09FC" w:rsidP="00E40F72">
      <w:pPr>
        <w:pStyle w:val="Heading2"/>
        <w:spacing w:before="0" w:after="120"/>
        <w:ind w:left="0"/>
      </w:pPr>
      <w:r w:rsidRPr="00E97CAF">
        <w:t>How did the court address this?</w:t>
      </w:r>
    </w:p>
    <w:p w14:paraId="15207A7F" w14:textId="77777777" w:rsidR="003E09FC" w:rsidRPr="00E97CAF" w:rsidRDefault="003E09FC" w:rsidP="00E40F72">
      <w:pPr>
        <w:pStyle w:val="Heading3"/>
        <w:spacing w:before="0" w:after="120"/>
      </w:pPr>
      <w:r w:rsidRPr="00E97CAF">
        <w:t>Thus, the Corps’ decisions were made in the context of the MRGO project, not within the context of the LPV. ...Thus, the failures at issue here are extrinsic to the LPV and are not subject to §702c immunity. There is no reason for the Court to revisit its decision with respect to the Flood Control Act, and it will not do so.</w:t>
      </w:r>
    </w:p>
    <w:p w14:paraId="1A08296A" w14:textId="77777777" w:rsidR="003E09FC" w:rsidRPr="00E97CAF" w:rsidRDefault="003E09FC" w:rsidP="00E40F72">
      <w:pPr>
        <w:pStyle w:val="Heading2"/>
        <w:spacing w:before="0" w:after="120"/>
        <w:ind w:left="0"/>
      </w:pPr>
      <w:r w:rsidRPr="00E97CAF">
        <w:t>That is all we get.</w:t>
      </w:r>
    </w:p>
    <w:p w14:paraId="462981BA" w14:textId="77777777" w:rsidR="003E09FC" w:rsidRPr="00E97CAF" w:rsidRDefault="003E09FC" w:rsidP="00E40F72">
      <w:pPr>
        <w:pStyle w:val="Heading1"/>
        <w:spacing w:before="0" w:after="120"/>
      </w:pPr>
      <w:r w:rsidRPr="00E97CAF">
        <w:t>FTCA and MRGO</w:t>
      </w:r>
    </w:p>
    <w:p w14:paraId="41629B94" w14:textId="77777777" w:rsidR="003E09FC" w:rsidRPr="00E97CAF" w:rsidRDefault="003E09FC" w:rsidP="00E40F72">
      <w:pPr>
        <w:pStyle w:val="Heading2"/>
        <w:spacing w:before="0" w:after="120"/>
        <w:ind w:left="0"/>
      </w:pPr>
      <w:r w:rsidRPr="00E97CAF">
        <w:t>The remainder of the opinion, 50 or so pages, is a detailed discussion of how the court decides that the Corps was negligent in the maintenance of MRGO and why not armoring the MRGO was a ministerial (non-discretionary) act.</w:t>
      </w:r>
    </w:p>
    <w:p w14:paraId="7EF762E4" w14:textId="77777777" w:rsidR="003E09FC" w:rsidRPr="00E97CAF" w:rsidRDefault="003E09FC" w:rsidP="00E40F72">
      <w:pPr>
        <w:pStyle w:val="Heading3"/>
        <w:spacing w:before="0" w:after="120"/>
      </w:pPr>
      <w:r w:rsidRPr="00E97CAF">
        <w:t>This is based on the notion that failing to do so put the region at risk and that would be wrong - the court dealt with Allen by not even citing it.</w:t>
      </w:r>
    </w:p>
    <w:p w14:paraId="7399B4C5" w14:textId="77777777" w:rsidR="003E09FC" w:rsidRPr="00E97CAF" w:rsidRDefault="003E09FC" w:rsidP="00E40F72">
      <w:pPr>
        <w:pStyle w:val="Heading2"/>
        <w:spacing w:before="0" w:after="120"/>
        <w:ind w:left="0"/>
      </w:pPr>
      <w:r w:rsidRPr="00E97CAF">
        <w:t>More fundamentally, once the levees were built, the decisions about armoring MRGO became system decisions of the LPV plan - which the court does not want to hear.</w:t>
      </w:r>
    </w:p>
    <w:sectPr w:rsidR="003E09FC" w:rsidRPr="00E97C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15:restartNumberingAfterBreak="0">
    <w:nsid w:val="FFFFFFFE"/>
    <w:multiLevelType w:val="singleLevel"/>
    <w:tmpl w:val="0C3CDBAC"/>
    <w:lvl w:ilvl="0">
      <w:numFmt w:val="bullet"/>
      <w:lvlText w:val="*"/>
      <w:lvlJc w:val="left"/>
    </w:lvl>
  </w:abstractNum>
  <w:abstractNum w:abstractNumId="2" w15:restartNumberingAfterBreak="0">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lvlOverride w:ilvl="0">
      <w:lvl w:ilvl="0">
        <w:numFmt w:val="bullet"/>
        <w:lvlText w:val=""/>
        <w:legacy w:legacy="1" w:legacySpace="0" w:legacyIndent="0"/>
        <w:lvlJc w:val="left"/>
        <w:rPr>
          <w:rFonts w:ascii="Wingdings" w:hAnsi="Wingdings" w:hint="default"/>
          <w:sz w:val="34"/>
        </w:rPr>
      </w:lvl>
    </w:lvlOverride>
  </w:num>
  <w:num w:numId="2">
    <w:abstractNumId w:val="1"/>
    <w:lvlOverride w:ilvl="0">
      <w:lvl w:ilvl="0">
        <w:numFmt w:val="bullet"/>
        <w:lvlText w:val=""/>
        <w:legacy w:legacy="1" w:legacySpace="0" w:legacyIndent="0"/>
        <w:lvlJc w:val="left"/>
        <w:rPr>
          <w:rFonts w:ascii="Wingdings" w:hAnsi="Wingdings" w:hint="default"/>
          <w:sz w:val="34"/>
        </w:rPr>
      </w:lvl>
    </w:lvlOverride>
  </w:num>
  <w:num w:numId="3">
    <w:abstractNumId w:val="1"/>
    <w:lvlOverride w:ilvl="0">
      <w:lvl w:ilvl="0">
        <w:numFmt w:val="bullet"/>
        <w:lvlText w:val=""/>
        <w:legacy w:legacy="1" w:legacySpace="0" w:legacyIndent="0"/>
        <w:lvlJc w:val="left"/>
        <w:rPr>
          <w:rFonts w:ascii="Wingdings" w:hAnsi="Wingdings" w:hint="default"/>
          <w:sz w:val="31"/>
        </w:rPr>
      </w:lvl>
    </w:lvlOverride>
  </w:num>
  <w:num w:numId="4">
    <w:abstractNumId w:val="1"/>
    <w:lvlOverride w:ilvl="0">
      <w:lvl w:ilvl="0">
        <w:numFmt w:val="bullet"/>
        <w:lvlText w:val=""/>
        <w:legacy w:legacy="1" w:legacySpace="0" w:legacyIndent="0"/>
        <w:lvlJc w:val="left"/>
        <w:rPr>
          <w:rFonts w:ascii="Wingdings" w:hAnsi="Wingdings" w:hint="default"/>
          <w:sz w:val="35"/>
        </w:rPr>
      </w:lvl>
    </w:lvlOverride>
  </w:num>
  <w:num w:numId="5">
    <w:abstractNumId w:val="1"/>
    <w:lvlOverride w:ilvl="0">
      <w:lvl w:ilvl="0">
        <w:numFmt w:val="bullet"/>
        <w:lvlText w:val=""/>
        <w:legacy w:legacy="1" w:legacySpace="0" w:legacyIndent="0"/>
        <w:lvlJc w:val="left"/>
        <w:rPr>
          <w:rFonts w:ascii="Wingdings" w:hAnsi="Wingdings" w:hint="default"/>
          <w:sz w:val="29"/>
        </w:rPr>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CAF"/>
    <w:rsid w:val="000511E9"/>
    <w:rsid w:val="001768E5"/>
    <w:rsid w:val="00212FCB"/>
    <w:rsid w:val="003E09FC"/>
    <w:rsid w:val="00BC50B9"/>
    <w:rsid w:val="00E40F72"/>
    <w:rsid w:val="00E9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525B2"/>
  <w14:defaultImageDpi w14:val="96"/>
  <w15:docId w15:val="{0A9DCAC3-B812-4C82-ACA5-C51C7C8E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7CAF"/>
    <w:pPr>
      <w:widowControl w:val="0"/>
      <w:suppressAutoHyphens/>
      <w:autoSpaceDE w:val="0"/>
      <w:autoSpaceDN w:val="0"/>
      <w:adjustRightInd w:val="0"/>
      <w:spacing w:after="240"/>
    </w:pPr>
    <w:rPr>
      <w:rFonts w:ascii="Times New Roman" w:hAnsi="Times New Roman" w:cs="Courier"/>
      <w:sz w:val="24"/>
    </w:rPr>
  </w:style>
  <w:style w:type="paragraph" w:styleId="Heading1">
    <w:name w:val="heading 1"/>
    <w:basedOn w:val="BodyText"/>
    <w:next w:val="Heading2"/>
    <w:link w:val="Heading1Char"/>
    <w:uiPriority w:val="9"/>
    <w:rsid w:val="00E97CAF"/>
    <w:pPr>
      <w:widowControl w:val="0"/>
      <w:spacing w:before="240"/>
      <w:outlineLvl w:val="0"/>
    </w:pPr>
    <w:rPr>
      <w:b/>
    </w:rPr>
  </w:style>
  <w:style w:type="paragraph" w:styleId="Heading2">
    <w:name w:val="heading 2"/>
    <w:basedOn w:val="Heading1"/>
    <w:next w:val="Heading3"/>
    <w:link w:val="Heading2Char"/>
    <w:uiPriority w:val="9"/>
    <w:qFormat/>
    <w:rsid w:val="00E97CAF"/>
    <w:pPr>
      <w:ind w:left="360"/>
      <w:outlineLvl w:val="1"/>
    </w:pPr>
  </w:style>
  <w:style w:type="paragraph" w:styleId="Heading3">
    <w:name w:val="heading 3"/>
    <w:basedOn w:val="Heading2"/>
    <w:next w:val="BodyText"/>
    <w:link w:val="Heading3Char"/>
    <w:uiPriority w:val="9"/>
    <w:qFormat/>
    <w:rsid w:val="00E97CAF"/>
    <w:pPr>
      <w:ind w:left="720"/>
      <w:outlineLvl w:val="2"/>
    </w:pPr>
    <w:rPr>
      <w:szCs w:val="24"/>
    </w:rPr>
  </w:style>
  <w:style w:type="paragraph" w:styleId="Heading4">
    <w:name w:val="heading 4"/>
    <w:basedOn w:val="Heading3"/>
    <w:next w:val="BodyText"/>
    <w:link w:val="Heading4Char"/>
    <w:uiPriority w:val="9"/>
    <w:qFormat/>
    <w:rsid w:val="00E97CAF"/>
    <w:pPr>
      <w:ind w:left="1080"/>
      <w:outlineLvl w:val="3"/>
    </w:pPr>
  </w:style>
  <w:style w:type="paragraph" w:styleId="Heading5">
    <w:name w:val="heading 5"/>
    <w:basedOn w:val="Heading4"/>
    <w:next w:val="BodyText"/>
    <w:link w:val="Heading5Char"/>
    <w:uiPriority w:val="9"/>
    <w:qFormat/>
    <w:rsid w:val="00E97CAF"/>
    <w:pPr>
      <w:ind w:left="1440"/>
      <w:outlineLvl w:val="4"/>
    </w:pPr>
  </w:style>
  <w:style w:type="paragraph" w:styleId="Heading6">
    <w:name w:val="heading 6"/>
    <w:basedOn w:val="Heading5"/>
    <w:next w:val="BodyText"/>
    <w:link w:val="Heading6Char"/>
    <w:uiPriority w:val="9"/>
    <w:qFormat/>
    <w:rsid w:val="00E97CAF"/>
    <w:pPr>
      <w:outlineLvl w:val="5"/>
    </w:pPr>
  </w:style>
  <w:style w:type="paragraph" w:styleId="Heading7">
    <w:name w:val="heading 7"/>
    <w:basedOn w:val="Heading6"/>
    <w:next w:val="BodyText"/>
    <w:link w:val="Heading7Char"/>
    <w:uiPriority w:val="9"/>
    <w:qFormat/>
    <w:rsid w:val="00E97CAF"/>
    <w:pPr>
      <w:outlineLvl w:val="6"/>
    </w:pPr>
  </w:style>
  <w:style w:type="paragraph" w:styleId="Heading8">
    <w:name w:val="heading 8"/>
    <w:basedOn w:val="Heading7"/>
    <w:next w:val="BodyText"/>
    <w:link w:val="Heading8Char"/>
    <w:uiPriority w:val="9"/>
    <w:qFormat/>
    <w:rsid w:val="00E97CAF"/>
    <w:pPr>
      <w:outlineLvl w:val="7"/>
    </w:pPr>
    <w:rPr>
      <w:i/>
    </w:rPr>
  </w:style>
  <w:style w:type="paragraph" w:styleId="Heading9">
    <w:name w:val="heading 9"/>
    <w:basedOn w:val="Heading8"/>
    <w:next w:val="BodyText"/>
    <w:link w:val="Heading9Char"/>
    <w:uiPriority w:val="9"/>
    <w:qFormat/>
    <w:rsid w:val="00E97CAF"/>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97CAF"/>
    <w:rPr>
      <w:rFonts w:ascii="Times New Roman" w:hAnsi="Times New Roman"/>
      <w:b/>
      <w:sz w:val="20"/>
    </w:rPr>
  </w:style>
  <w:style w:type="character" w:customStyle="1" w:styleId="Heading2Char">
    <w:name w:val="Heading 2 Char"/>
    <w:link w:val="Heading2"/>
    <w:uiPriority w:val="9"/>
    <w:locked/>
    <w:rsid w:val="00E97CAF"/>
    <w:rPr>
      <w:rFonts w:ascii="Times New Roman" w:hAnsi="Times New Roman"/>
      <w:b/>
      <w:sz w:val="20"/>
    </w:rPr>
  </w:style>
  <w:style w:type="character" w:customStyle="1" w:styleId="Heading3Char">
    <w:name w:val="Heading 3 Char"/>
    <w:link w:val="Heading3"/>
    <w:uiPriority w:val="9"/>
    <w:locked/>
    <w:rsid w:val="00E97CAF"/>
    <w:rPr>
      <w:rFonts w:ascii="Times New Roman" w:hAnsi="Times New Roman"/>
      <w:b/>
      <w:sz w:val="24"/>
    </w:rPr>
  </w:style>
  <w:style w:type="character" w:customStyle="1" w:styleId="Heading4Char">
    <w:name w:val="Heading 4 Char"/>
    <w:link w:val="Heading4"/>
    <w:uiPriority w:val="9"/>
    <w:locked/>
    <w:rsid w:val="00E97CAF"/>
    <w:rPr>
      <w:rFonts w:ascii="Times New Roman" w:hAnsi="Times New Roman"/>
      <w:b/>
      <w:sz w:val="24"/>
    </w:rPr>
  </w:style>
  <w:style w:type="character" w:customStyle="1" w:styleId="Heading5Char">
    <w:name w:val="Heading 5 Char"/>
    <w:link w:val="Heading5"/>
    <w:uiPriority w:val="9"/>
    <w:locked/>
    <w:rsid w:val="00E97CAF"/>
    <w:rPr>
      <w:rFonts w:ascii="Times New Roman" w:hAnsi="Times New Roman"/>
      <w:b/>
      <w:sz w:val="24"/>
    </w:rPr>
  </w:style>
  <w:style w:type="character" w:customStyle="1" w:styleId="Heading6Char">
    <w:name w:val="Heading 6 Char"/>
    <w:link w:val="Heading6"/>
    <w:uiPriority w:val="9"/>
    <w:locked/>
    <w:rsid w:val="00E97CAF"/>
    <w:rPr>
      <w:rFonts w:ascii="Times New Roman" w:hAnsi="Times New Roman"/>
      <w:b/>
      <w:sz w:val="24"/>
    </w:rPr>
  </w:style>
  <w:style w:type="character" w:customStyle="1" w:styleId="Heading7Char">
    <w:name w:val="Heading 7 Char"/>
    <w:link w:val="Heading7"/>
    <w:uiPriority w:val="9"/>
    <w:locked/>
    <w:rsid w:val="00E97CAF"/>
    <w:rPr>
      <w:rFonts w:ascii="Times New Roman" w:hAnsi="Times New Roman"/>
      <w:b/>
      <w:sz w:val="24"/>
    </w:rPr>
  </w:style>
  <w:style w:type="character" w:customStyle="1" w:styleId="Heading8Char">
    <w:name w:val="Heading 8 Char"/>
    <w:link w:val="Heading8"/>
    <w:uiPriority w:val="9"/>
    <w:locked/>
    <w:rsid w:val="00E97CAF"/>
    <w:rPr>
      <w:rFonts w:ascii="Times New Roman" w:hAnsi="Times New Roman"/>
      <w:b/>
      <w:i/>
      <w:sz w:val="24"/>
    </w:rPr>
  </w:style>
  <w:style w:type="character" w:customStyle="1" w:styleId="Heading9Char">
    <w:name w:val="Heading 9 Char"/>
    <w:link w:val="Heading9"/>
    <w:uiPriority w:val="9"/>
    <w:locked/>
    <w:rsid w:val="00E97CAF"/>
    <w:rPr>
      <w:rFonts w:ascii="Times New Roman" w:hAnsi="Times New Roman"/>
      <w:sz w:val="24"/>
    </w:rPr>
  </w:style>
  <w:style w:type="paragraph" w:styleId="BodyText">
    <w:name w:val="Body Text"/>
    <w:basedOn w:val="basefont"/>
    <w:link w:val="BodyTextChar"/>
    <w:uiPriority w:val="99"/>
    <w:rsid w:val="00E97CAF"/>
    <w:pPr>
      <w:spacing w:after="240"/>
    </w:pPr>
    <w:rPr>
      <w:noProof w:val="0"/>
    </w:rPr>
  </w:style>
  <w:style w:type="character" w:customStyle="1" w:styleId="BodyTextChar">
    <w:name w:val="Body Text Char"/>
    <w:link w:val="BodyText"/>
    <w:uiPriority w:val="99"/>
    <w:locked/>
    <w:rsid w:val="00E97CAF"/>
    <w:rPr>
      <w:rFonts w:ascii="Times New Roman" w:hAnsi="Times New Roman"/>
      <w:sz w:val="20"/>
    </w:rPr>
  </w:style>
  <w:style w:type="character" w:styleId="EndnoteReference">
    <w:name w:val="endnote reference"/>
    <w:uiPriority w:val="99"/>
    <w:rsid w:val="00E97CAF"/>
    <w:rPr>
      <w:rFonts w:ascii="Times New Roman" w:hAnsi="Times New Roman"/>
      <w:vertAlign w:val="superscript"/>
    </w:rPr>
  </w:style>
  <w:style w:type="paragraph" w:styleId="EndnoteText">
    <w:name w:val="endnote text"/>
    <w:basedOn w:val="Normal"/>
    <w:link w:val="EndnoteTextChar"/>
    <w:uiPriority w:val="99"/>
    <w:rsid w:val="00E97CAF"/>
    <w:pPr>
      <w:overflowPunct w:val="0"/>
      <w:textAlignment w:val="baseline"/>
    </w:pPr>
    <w:rPr>
      <w:szCs w:val="24"/>
    </w:rPr>
  </w:style>
  <w:style w:type="character" w:customStyle="1" w:styleId="EndnoteTextChar">
    <w:name w:val="Endnote Text Char"/>
    <w:link w:val="EndnoteText"/>
    <w:uiPriority w:val="99"/>
    <w:locked/>
    <w:rsid w:val="00E97CAF"/>
    <w:rPr>
      <w:rFonts w:ascii="Times New Roman" w:hAnsi="Times New Roman" w:cs="Courier"/>
      <w:sz w:val="24"/>
      <w:szCs w:val="24"/>
    </w:rPr>
  </w:style>
  <w:style w:type="paragraph" w:customStyle="1" w:styleId="Center">
    <w:name w:val="Center"/>
    <w:basedOn w:val="Normal"/>
    <w:rsid w:val="00E97CAF"/>
    <w:pPr>
      <w:jc w:val="center"/>
    </w:pPr>
  </w:style>
  <w:style w:type="character" w:styleId="FootnoteReference">
    <w:name w:val="footnote reference"/>
    <w:aliases w:val="FN Reference"/>
    <w:uiPriority w:val="99"/>
    <w:qFormat/>
    <w:rsid w:val="00E97CAF"/>
    <w:rPr>
      <w:rFonts w:ascii="Times New Roman" w:hAnsi="Times New Roman"/>
      <w:position w:val="0"/>
      <w:sz w:val="24"/>
      <w:vertAlign w:val="superscript"/>
    </w:rPr>
  </w:style>
  <w:style w:type="paragraph" w:styleId="FootnoteText">
    <w:name w:val="footnote text"/>
    <w:aliases w:val="FN Text"/>
    <w:basedOn w:val="basefont"/>
    <w:link w:val="FootnoteTextChar"/>
    <w:uiPriority w:val="99"/>
    <w:qFormat/>
    <w:rsid w:val="00E97CAF"/>
    <w:pPr>
      <w:spacing w:after="120"/>
    </w:pPr>
    <w:rPr>
      <w:rFonts w:cs="Courier"/>
      <w:noProof w:val="0"/>
      <w:sz w:val="20"/>
    </w:rPr>
  </w:style>
  <w:style w:type="character" w:customStyle="1" w:styleId="FootnoteTextChar">
    <w:name w:val="Footnote Text Char"/>
    <w:aliases w:val="FN Text Char"/>
    <w:link w:val="FootnoteText"/>
    <w:uiPriority w:val="99"/>
    <w:locked/>
    <w:rsid w:val="00E97CAF"/>
    <w:rPr>
      <w:rFonts w:ascii="Times New Roman" w:hAnsi="Times New Roman"/>
      <w:sz w:val="20"/>
    </w:rPr>
  </w:style>
  <w:style w:type="paragraph" w:styleId="BlockText">
    <w:name w:val="Block Text"/>
    <w:basedOn w:val="Normal"/>
    <w:uiPriority w:val="99"/>
    <w:rsid w:val="00E97CAF"/>
    <w:pPr>
      <w:spacing w:after="120"/>
      <w:ind w:left="1440" w:right="1440"/>
    </w:pPr>
  </w:style>
  <w:style w:type="paragraph" w:customStyle="1" w:styleId="Bodytext-hidden">
    <w:name w:val="Body text - hidden"/>
    <w:basedOn w:val="BodyText"/>
    <w:rsid w:val="00E97CAF"/>
    <w:rPr>
      <w:vanish/>
    </w:rPr>
  </w:style>
  <w:style w:type="paragraph" w:customStyle="1" w:styleId="Bodytext-Quote">
    <w:name w:val="Body text - Quote"/>
    <w:basedOn w:val="BodyText"/>
    <w:rsid w:val="00E97CAF"/>
    <w:pPr>
      <w:ind w:left="720" w:right="720"/>
    </w:pPr>
  </w:style>
  <w:style w:type="paragraph" w:customStyle="1" w:styleId="basefont">
    <w:name w:val="base font"/>
    <w:next w:val="BodyText"/>
    <w:rsid w:val="00E97CAF"/>
    <w:rPr>
      <w:rFonts w:ascii="Times New Roman" w:hAnsi="Times New Roman"/>
      <w:noProof/>
      <w:sz w:val="24"/>
    </w:rPr>
  </w:style>
  <w:style w:type="paragraph" w:customStyle="1" w:styleId="MMEmpty">
    <w:name w:val="MM Empty"/>
    <w:basedOn w:val="Normal"/>
    <w:rsid w:val="00E97CAF"/>
  </w:style>
  <w:style w:type="paragraph" w:customStyle="1" w:styleId="MMTitle">
    <w:name w:val="MM Title"/>
    <w:basedOn w:val="Title"/>
    <w:rsid w:val="00E97CAF"/>
  </w:style>
  <w:style w:type="paragraph" w:styleId="Title">
    <w:name w:val="Title"/>
    <w:basedOn w:val="Normal"/>
    <w:link w:val="TitleChar"/>
    <w:uiPriority w:val="10"/>
    <w:qFormat/>
    <w:rsid w:val="00E97CA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locked/>
    <w:rsid w:val="00E97CAF"/>
    <w:rPr>
      <w:rFonts w:ascii="Arial" w:hAnsi="Arial"/>
      <w:b/>
      <w:kern w:val="28"/>
      <w:sz w:val="32"/>
    </w:rPr>
  </w:style>
  <w:style w:type="paragraph" w:customStyle="1" w:styleId="MMTopic1">
    <w:name w:val="MM Topic 1"/>
    <w:basedOn w:val="Heading1"/>
    <w:rsid w:val="00E97CAF"/>
    <w:pPr>
      <w:numPr>
        <w:numId w:val="7"/>
      </w:numPr>
      <w:tabs>
        <w:tab w:val="left" w:pos="0"/>
      </w:tabs>
    </w:pPr>
  </w:style>
  <w:style w:type="paragraph" w:customStyle="1" w:styleId="MMTopic2">
    <w:name w:val="MM Topic 2"/>
    <w:basedOn w:val="Heading2"/>
    <w:rsid w:val="00E97CAF"/>
    <w:pPr>
      <w:numPr>
        <w:ilvl w:val="1"/>
        <w:numId w:val="7"/>
      </w:numPr>
      <w:tabs>
        <w:tab w:val="left" w:pos="0"/>
      </w:tabs>
      <w:ind w:left="0"/>
    </w:pPr>
  </w:style>
  <w:style w:type="paragraph" w:customStyle="1" w:styleId="MMTopic3">
    <w:name w:val="MM Topic 3"/>
    <w:basedOn w:val="Heading3"/>
    <w:rsid w:val="00E97CAF"/>
    <w:pPr>
      <w:numPr>
        <w:ilvl w:val="2"/>
        <w:numId w:val="7"/>
      </w:numPr>
      <w:tabs>
        <w:tab w:val="left" w:pos="0"/>
      </w:tabs>
      <w:ind w:left="0"/>
    </w:pPr>
  </w:style>
  <w:style w:type="paragraph" w:styleId="BalloonText">
    <w:name w:val="Balloon Text"/>
    <w:basedOn w:val="Normal"/>
    <w:link w:val="BalloonTextChar"/>
    <w:uiPriority w:val="99"/>
    <w:rsid w:val="00E97CAF"/>
    <w:rPr>
      <w:rFonts w:ascii="Tahoma" w:hAnsi="Tahoma" w:cs="Tahoma"/>
      <w:sz w:val="16"/>
      <w:szCs w:val="16"/>
    </w:rPr>
  </w:style>
  <w:style w:type="character" w:customStyle="1" w:styleId="BalloonTextChar">
    <w:name w:val="Balloon Text Char"/>
    <w:link w:val="BalloonText"/>
    <w:uiPriority w:val="99"/>
    <w:locked/>
    <w:rsid w:val="00E97CAF"/>
    <w:rPr>
      <w:rFonts w:ascii="Tahoma" w:hAnsi="Tahoma" w:cs="Tahoma"/>
      <w:sz w:val="16"/>
      <w:szCs w:val="16"/>
    </w:rPr>
  </w:style>
  <w:style w:type="character" w:styleId="Emphasis">
    <w:name w:val="Emphasis"/>
    <w:uiPriority w:val="20"/>
    <w:qFormat/>
    <w:rsid w:val="00E97CAF"/>
    <w:rPr>
      <w:i/>
    </w:rPr>
  </w:style>
  <w:style w:type="paragraph" w:customStyle="1" w:styleId="FootnoteForm">
    <w:name w:val="Footnote Form"/>
    <w:basedOn w:val="Normal"/>
    <w:rsid w:val="00E97CAF"/>
    <w:pPr>
      <w:tabs>
        <w:tab w:val="right" w:pos="432"/>
        <w:tab w:val="left" w:pos="547"/>
      </w:tabs>
      <w:overflowPunct w:val="0"/>
      <w:jc w:val="both"/>
      <w:textAlignment w:val="baseline"/>
    </w:pPr>
    <w:rPr>
      <w:sz w:val="16"/>
    </w:rPr>
  </w:style>
  <w:style w:type="character" w:styleId="Hyperlink">
    <w:name w:val="Hyperlink"/>
    <w:uiPriority w:val="99"/>
    <w:rsid w:val="00E97CAF"/>
    <w:rPr>
      <w:color w:val="0033FF"/>
      <w:u w:val="single"/>
    </w:rPr>
  </w:style>
  <w:style w:type="paragraph" w:styleId="Index1">
    <w:name w:val="index 1"/>
    <w:basedOn w:val="Normal"/>
    <w:next w:val="Normal"/>
    <w:autoRedefine/>
    <w:uiPriority w:val="99"/>
    <w:rsid w:val="00E97CAF"/>
    <w:pPr>
      <w:ind w:left="240" w:hanging="240"/>
    </w:pPr>
  </w:style>
  <w:style w:type="paragraph" w:styleId="Index2">
    <w:name w:val="index 2"/>
    <w:basedOn w:val="Normal"/>
    <w:next w:val="Normal"/>
    <w:autoRedefine/>
    <w:uiPriority w:val="99"/>
    <w:rsid w:val="00E97CAF"/>
    <w:pPr>
      <w:ind w:left="480" w:hanging="240"/>
    </w:pPr>
  </w:style>
  <w:style w:type="paragraph" w:styleId="Index3">
    <w:name w:val="index 3"/>
    <w:basedOn w:val="Normal"/>
    <w:next w:val="Normal"/>
    <w:autoRedefine/>
    <w:uiPriority w:val="99"/>
    <w:rsid w:val="00E97CAF"/>
    <w:pPr>
      <w:ind w:left="720" w:hanging="240"/>
    </w:pPr>
  </w:style>
  <w:style w:type="paragraph" w:styleId="Index4">
    <w:name w:val="index 4"/>
    <w:basedOn w:val="Normal"/>
    <w:next w:val="Normal"/>
    <w:autoRedefine/>
    <w:uiPriority w:val="99"/>
    <w:rsid w:val="00E97CAF"/>
    <w:pPr>
      <w:ind w:left="960" w:hanging="240"/>
    </w:pPr>
  </w:style>
  <w:style w:type="paragraph" w:styleId="Index5">
    <w:name w:val="index 5"/>
    <w:basedOn w:val="Normal"/>
    <w:next w:val="Normal"/>
    <w:autoRedefine/>
    <w:uiPriority w:val="99"/>
    <w:rsid w:val="00E97CAF"/>
    <w:pPr>
      <w:ind w:left="1200" w:hanging="240"/>
    </w:pPr>
  </w:style>
  <w:style w:type="paragraph" w:styleId="Index6">
    <w:name w:val="index 6"/>
    <w:basedOn w:val="Normal"/>
    <w:next w:val="Normal"/>
    <w:autoRedefine/>
    <w:uiPriority w:val="99"/>
    <w:rsid w:val="00E97CAF"/>
    <w:pPr>
      <w:ind w:left="1440" w:hanging="240"/>
    </w:pPr>
  </w:style>
  <w:style w:type="paragraph" w:styleId="Index7">
    <w:name w:val="index 7"/>
    <w:basedOn w:val="Normal"/>
    <w:next w:val="Normal"/>
    <w:autoRedefine/>
    <w:uiPriority w:val="99"/>
    <w:rsid w:val="00E97CAF"/>
    <w:pPr>
      <w:ind w:left="1680" w:hanging="240"/>
    </w:pPr>
  </w:style>
  <w:style w:type="paragraph" w:styleId="Index8">
    <w:name w:val="index 8"/>
    <w:basedOn w:val="Normal"/>
    <w:next w:val="Normal"/>
    <w:autoRedefine/>
    <w:uiPriority w:val="99"/>
    <w:rsid w:val="00E97CAF"/>
    <w:pPr>
      <w:ind w:left="1920" w:hanging="240"/>
    </w:pPr>
  </w:style>
  <w:style w:type="paragraph" w:styleId="Index9">
    <w:name w:val="index 9"/>
    <w:basedOn w:val="Normal"/>
    <w:next w:val="Normal"/>
    <w:autoRedefine/>
    <w:uiPriority w:val="99"/>
    <w:rsid w:val="00E97CAF"/>
    <w:pPr>
      <w:ind w:left="2160" w:hanging="240"/>
    </w:pPr>
  </w:style>
  <w:style w:type="paragraph" w:styleId="IndexHeading">
    <w:name w:val="index heading"/>
    <w:basedOn w:val="Normal"/>
    <w:next w:val="Index1"/>
    <w:uiPriority w:val="99"/>
    <w:rsid w:val="00E97CAF"/>
    <w:rPr>
      <w:rFonts w:ascii="Arial" w:hAnsi="Arial" w:cs="Arial"/>
      <w:b/>
      <w:bCs/>
    </w:rPr>
  </w:style>
  <w:style w:type="paragraph" w:styleId="NormalWeb">
    <w:name w:val="Normal (Web)"/>
    <w:basedOn w:val="Normal"/>
    <w:uiPriority w:val="99"/>
    <w:rsid w:val="00E97CAF"/>
    <w:pPr>
      <w:spacing w:before="100" w:beforeAutospacing="1" w:after="100" w:afterAutospacing="1"/>
    </w:pPr>
    <w:rPr>
      <w:szCs w:val="24"/>
    </w:rPr>
  </w:style>
  <w:style w:type="paragraph" w:styleId="PlainText">
    <w:name w:val="Plain Text"/>
    <w:basedOn w:val="Normal"/>
    <w:link w:val="PlainTextChar"/>
    <w:uiPriority w:val="99"/>
    <w:rsid w:val="00E97CAF"/>
    <w:rPr>
      <w:rFonts w:ascii="Courier New" w:hAnsi="Courier New" w:cs="Courier New"/>
      <w:sz w:val="20"/>
    </w:rPr>
  </w:style>
  <w:style w:type="character" w:customStyle="1" w:styleId="PlainTextChar">
    <w:name w:val="Plain Text Char"/>
    <w:link w:val="PlainText"/>
    <w:uiPriority w:val="99"/>
    <w:locked/>
    <w:rsid w:val="00E97CAF"/>
    <w:rPr>
      <w:rFonts w:ascii="Courier New" w:hAnsi="Courier New" w:cs="Courier New"/>
      <w:sz w:val="20"/>
      <w:szCs w:val="20"/>
    </w:rPr>
  </w:style>
  <w:style w:type="paragraph" w:customStyle="1" w:styleId="NoSpacing1">
    <w:name w:val="No Spacing1"/>
    <w:uiPriority w:val="1"/>
    <w:qFormat/>
    <w:rsid w:val="00E97CAF"/>
    <w:rPr>
      <w:rFonts w:ascii="Cambria" w:hAnsi="Cambria"/>
      <w:sz w:val="22"/>
      <w:szCs w:val="22"/>
    </w:rPr>
  </w:style>
  <w:style w:type="paragraph" w:customStyle="1" w:styleId="chapter">
    <w:name w:val="chapter"/>
    <w:basedOn w:val="Normal"/>
    <w:qFormat/>
    <w:rsid w:val="00E97CAF"/>
    <w:pPr>
      <w:jc w:val="center"/>
    </w:pPr>
    <w:rPr>
      <w:sz w:val="28"/>
    </w:rPr>
  </w:style>
  <w:style w:type="paragraph" w:styleId="ListParagraph">
    <w:name w:val="List Paragraph"/>
    <w:basedOn w:val="Normal"/>
    <w:uiPriority w:val="34"/>
    <w:qFormat/>
    <w:rsid w:val="00E97CAF"/>
    <w:pPr>
      <w:ind w:left="720"/>
      <w:contextualSpacing/>
    </w:pPr>
  </w:style>
  <w:style w:type="paragraph" w:customStyle="1" w:styleId="StyleHeading114ptItalic">
    <w:name w:val="Style Heading 1 + 14 pt Italic"/>
    <w:basedOn w:val="Heading1"/>
    <w:rsid w:val="00E97CAF"/>
    <w:rPr>
      <w:b w:val="0"/>
      <w:bCs/>
      <w:i/>
      <w:iCs/>
      <w:sz w:val="28"/>
    </w:rPr>
  </w:style>
  <w:style w:type="paragraph" w:customStyle="1" w:styleId="StyleHeading3Georgia">
    <w:name w:val="Style Heading 3 + Georgia"/>
    <w:basedOn w:val="Heading3"/>
    <w:rsid w:val="00E97CAF"/>
    <w:rPr>
      <w:rFonts w:ascii="Georgia" w:hAnsi="Georgia"/>
      <w:b w:val="0"/>
      <w:bCs/>
    </w:rPr>
  </w:style>
  <w:style w:type="paragraph" w:customStyle="1" w:styleId="Hidden">
    <w:name w:val="Hidden"/>
    <w:basedOn w:val="basefont"/>
    <w:rsid w:val="00E97CAF"/>
    <w:pPr>
      <w:spacing w:after="100" w:afterAutospacing="1"/>
    </w:pPr>
    <w:rPr>
      <w:i/>
      <w:vanish/>
    </w:rPr>
  </w:style>
  <w:style w:type="paragraph" w:customStyle="1" w:styleId="Quote-Bodytext">
    <w:name w:val="Quote - Body text"/>
    <w:basedOn w:val="BodyText"/>
    <w:qFormat/>
    <w:rsid w:val="00E97CAF"/>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Normal-epr.dotm</Template>
  <TotalTime>4</TotalTime>
  <Pages>3</Pages>
  <Words>1176</Words>
  <Characters>5518</Characters>
  <Application>Microsoft Office Word</Application>
  <DocSecurity>0</DocSecurity>
  <Lines>108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 Richards</dc:creator>
  <cp:keywords/>
  <dc:description/>
  <cp:lastModifiedBy>Edward P Richards</cp:lastModifiedBy>
  <cp:revision>5</cp:revision>
  <dcterms:created xsi:type="dcterms:W3CDTF">2021-03-24T13:46:00Z</dcterms:created>
  <dcterms:modified xsi:type="dcterms:W3CDTF">2021-03-24T13:49:00Z</dcterms:modified>
</cp:coreProperties>
</file>