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F74A" w14:textId="7C46C4D2" w:rsidR="00D275D5" w:rsidRDefault="00BC6DAE" w:rsidP="004E5893">
      <w:pPr>
        <w:pStyle w:val="MMTopic1"/>
        <w:numPr>
          <w:ilvl w:val="0"/>
          <w:numId w:val="0"/>
        </w:numPr>
        <w:jc w:val="center"/>
      </w:pPr>
      <w:r>
        <w:t xml:space="preserve">Damage </w:t>
      </w:r>
      <w:r w:rsidR="00D275D5">
        <w:t xml:space="preserve">Claims </w:t>
      </w:r>
      <w:r w:rsidR="00BA31D8">
        <w:t>against</w:t>
      </w:r>
      <w:r w:rsidR="00D275D5">
        <w:t xml:space="preserve"> the Government</w:t>
      </w:r>
    </w:p>
    <w:p w14:paraId="48C5856F" w14:textId="77777777" w:rsidR="00E60BF1" w:rsidRDefault="00E60BF1" w:rsidP="00E60BF1">
      <w:pPr>
        <w:pStyle w:val="Heading1"/>
      </w:pPr>
      <w:r>
        <w:t>Introduction</w:t>
      </w:r>
    </w:p>
    <w:p w14:paraId="5C9CCBF7" w14:textId="77777777" w:rsidR="00D275D5" w:rsidRDefault="00365C5D" w:rsidP="00DE5CC4">
      <w:pPr>
        <w:spacing w:before="56" w:after="113"/>
        <w:rPr>
          <w:rFonts w:cs="Tahoma"/>
        </w:rPr>
      </w:pPr>
      <w:r>
        <w:rPr>
          <w:rFonts w:cs="Tahoma"/>
        </w:rPr>
        <w:t>H</w:t>
      </w:r>
      <w:r w:rsidR="00D275D5">
        <w:rPr>
          <w:rFonts w:cs="Tahoma"/>
        </w:rPr>
        <w:t>istorically, the federal and state governments had</w:t>
      </w:r>
      <w:r w:rsidR="003D6D72">
        <w:rPr>
          <w:rFonts w:cs="Tahoma"/>
        </w:rPr>
        <w:t xml:space="preserve"> </w:t>
      </w:r>
      <w:r w:rsidR="00D275D5">
        <w:rPr>
          <w:rFonts w:cs="Tahoma"/>
        </w:rPr>
        <w:t>sovereign immunity, which was the common law concept that no one could sue</w:t>
      </w:r>
      <w:r w:rsidR="003D6D72">
        <w:rPr>
          <w:rFonts w:cs="Tahoma"/>
        </w:rPr>
        <w:t xml:space="preserve"> </w:t>
      </w:r>
      <w:r w:rsidR="00D275D5">
        <w:rPr>
          <w:rFonts w:cs="Tahoma"/>
        </w:rPr>
        <w:t>the king (government). If the state injured a person, the only way for the</w:t>
      </w:r>
      <w:r w:rsidR="003D6D72">
        <w:rPr>
          <w:rFonts w:cs="Tahoma"/>
        </w:rPr>
        <w:t xml:space="preserve"> </w:t>
      </w:r>
      <w:r w:rsidR="00D275D5">
        <w:rPr>
          <w:rFonts w:cs="Tahoma"/>
        </w:rPr>
        <w:t>individual to get compensation under sovereign immunity was to persuade the</w:t>
      </w:r>
      <w:r w:rsidR="003D6D72">
        <w:rPr>
          <w:rFonts w:cs="Tahoma"/>
        </w:rPr>
        <w:t xml:space="preserve"> </w:t>
      </w:r>
      <w:r w:rsidR="00D275D5">
        <w:rPr>
          <w:rFonts w:cs="Tahoma"/>
        </w:rPr>
        <w:t xml:space="preserve">legislature to pass a special law authorizing such compensation. </w:t>
      </w:r>
    </w:p>
    <w:p w14:paraId="06499801" w14:textId="77777777" w:rsidR="00D275D5" w:rsidRDefault="00D275D5" w:rsidP="00DE5CC4">
      <w:pPr>
        <w:spacing w:before="56" w:after="113"/>
        <w:rPr>
          <w:rFonts w:cs="Tahoma"/>
        </w:rPr>
      </w:pPr>
      <w:r>
        <w:rPr>
          <w:rFonts w:cs="Tahoma"/>
        </w:rPr>
        <w:t xml:space="preserve">After the Civil War, Congress passed federal laws, including the </w:t>
      </w:r>
      <w:r w:rsidRPr="00365C5D">
        <w:t>Civil Rights Acts</w:t>
      </w:r>
      <w:r w:rsidR="00365C5D">
        <w:t xml:space="preserve"> (42 USC 1981, et seq.)</w:t>
      </w:r>
      <w:r>
        <w:rPr>
          <w:rFonts w:cs="Tahoma"/>
        </w:rPr>
        <w:t>,</w:t>
      </w:r>
      <w:r w:rsidR="003D6D72">
        <w:rPr>
          <w:rFonts w:cs="Tahoma"/>
        </w:rPr>
        <w:t xml:space="preserve"> </w:t>
      </w:r>
      <w:r>
        <w:rPr>
          <w:rFonts w:cs="Tahoma"/>
        </w:rPr>
        <w:t>which allowed individuals to sue state officials who used state authority to violate</w:t>
      </w:r>
      <w:r w:rsidR="003D6D72">
        <w:rPr>
          <w:rFonts w:cs="Tahoma"/>
        </w:rPr>
        <w:t xml:space="preserve"> </w:t>
      </w:r>
      <w:r>
        <w:rPr>
          <w:rFonts w:cs="Tahoma"/>
        </w:rPr>
        <w:t>the individual's civil rights. Starting in the 1940s, the states and the federal</w:t>
      </w:r>
      <w:r w:rsidR="003D6D72">
        <w:rPr>
          <w:rFonts w:cs="Tahoma"/>
        </w:rPr>
        <w:t xml:space="preserve"> </w:t>
      </w:r>
      <w:r>
        <w:rPr>
          <w:rFonts w:cs="Tahoma"/>
        </w:rPr>
        <w:t>government, responding to the huge legislative burden of private compensation</w:t>
      </w:r>
      <w:r w:rsidR="003D6D72">
        <w:rPr>
          <w:rFonts w:cs="Tahoma"/>
        </w:rPr>
        <w:t xml:space="preserve"> </w:t>
      </w:r>
      <w:r>
        <w:rPr>
          <w:rFonts w:cs="Tahoma"/>
        </w:rPr>
        <w:t>bills and the potential for corruption in private compensation legislation, passed</w:t>
      </w:r>
      <w:r w:rsidR="003D6D72">
        <w:rPr>
          <w:rFonts w:cs="Tahoma"/>
        </w:rPr>
        <w:t xml:space="preserve"> </w:t>
      </w:r>
      <w:r w:rsidRPr="00365C5D">
        <w:t>Tort Claims Acts</w:t>
      </w:r>
      <w:r>
        <w:rPr>
          <w:rFonts w:cs="Tahoma"/>
        </w:rPr>
        <w:t xml:space="preserve">. These </w:t>
      </w:r>
      <w:r w:rsidR="00365C5D">
        <w:rPr>
          <w:rFonts w:cs="Tahoma"/>
        </w:rPr>
        <w:t xml:space="preserve">acts </w:t>
      </w:r>
      <w:r>
        <w:rPr>
          <w:rFonts w:cs="Tahoma"/>
        </w:rPr>
        <w:t xml:space="preserve">provided a </w:t>
      </w:r>
      <w:r w:rsidR="00365C5D">
        <w:rPr>
          <w:rFonts w:cs="Tahoma"/>
        </w:rPr>
        <w:t xml:space="preserve">limited waiver of </w:t>
      </w:r>
      <w:proofErr w:type="spellStart"/>
      <w:r w:rsidR="00365C5D">
        <w:rPr>
          <w:rFonts w:cs="Tahoma"/>
        </w:rPr>
        <w:t>soverign</w:t>
      </w:r>
      <w:proofErr w:type="spellEnd"/>
      <w:r w:rsidR="00365C5D">
        <w:rPr>
          <w:rFonts w:cs="Tahoma"/>
        </w:rPr>
        <w:t xml:space="preserve"> immunity for </w:t>
      </w:r>
      <w:r>
        <w:rPr>
          <w:rFonts w:cs="Tahoma"/>
        </w:rPr>
        <w:t>negligence claims against the</w:t>
      </w:r>
      <w:r w:rsidR="003D6D72">
        <w:rPr>
          <w:rFonts w:cs="Tahoma"/>
        </w:rPr>
        <w:t xml:space="preserve"> </w:t>
      </w:r>
      <w:r>
        <w:rPr>
          <w:rFonts w:cs="Tahoma"/>
        </w:rPr>
        <w:t>government and its employees.</w:t>
      </w:r>
      <w:r w:rsidR="00365C5D">
        <w:rPr>
          <w:rFonts w:cs="Tahoma"/>
        </w:rPr>
        <w:t xml:space="preserve"> </w:t>
      </w:r>
      <w:r>
        <w:rPr>
          <w:rFonts w:cs="Tahoma"/>
        </w:rPr>
        <w:t>These laws attempt to balance the rights of injured individuals against the need to</w:t>
      </w:r>
      <w:r w:rsidR="003D6D72">
        <w:rPr>
          <w:rFonts w:cs="Tahoma"/>
        </w:rPr>
        <w:t xml:space="preserve"> </w:t>
      </w:r>
      <w:r>
        <w:rPr>
          <w:rFonts w:cs="Tahoma"/>
        </w:rPr>
        <w:t xml:space="preserve">deliver cost-effective </w:t>
      </w:r>
      <w:r w:rsidR="00365C5D">
        <w:rPr>
          <w:rFonts w:cs="Tahoma"/>
        </w:rPr>
        <w:t>government</w:t>
      </w:r>
      <w:r w:rsidR="00647C4B">
        <w:rPr>
          <w:rFonts w:cs="Tahoma"/>
        </w:rPr>
        <w:t>al</w:t>
      </w:r>
      <w:r w:rsidR="00365C5D">
        <w:rPr>
          <w:rFonts w:cs="Tahoma"/>
        </w:rPr>
        <w:t xml:space="preserve"> </w:t>
      </w:r>
      <w:r>
        <w:rPr>
          <w:rFonts w:cs="Tahoma"/>
        </w:rPr>
        <w:t>services and the need to protect public officials and</w:t>
      </w:r>
      <w:r w:rsidR="003D6D72">
        <w:rPr>
          <w:rFonts w:cs="Tahoma"/>
        </w:rPr>
        <w:t xml:space="preserve"> </w:t>
      </w:r>
      <w:r>
        <w:rPr>
          <w:rFonts w:cs="Tahoma"/>
        </w:rPr>
        <w:t xml:space="preserve">employees from individual liability for doing their job. </w:t>
      </w:r>
      <w:r w:rsidR="00365C5D">
        <w:rPr>
          <w:rFonts w:cs="Tahoma"/>
        </w:rPr>
        <w:t xml:space="preserve">Government </w:t>
      </w:r>
      <w:r>
        <w:rPr>
          <w:rFonts w:cs="Tahoma"/>
        </w:rPr>
        <w:t xml:space="preserve">officials </w:t>
      </w:r>
      <w:r w:rsidR="00365C5D">
        <w:rPr>
          <w:rFonts w:cs="Tahoma"/>
        </w:rPr>
        <w:t xml:space="preserve">and employees </w:t>
      </w:r>
      <w:proofErr w:type="gramStart"/>
      <w:r>
        <w:rPr>
          <w:rFonts w:cs="Tahoma"/>
        </w:rPr>
        <w:t>have</w:t>
      </w:r>
      <w:r w:rsidR="003D6D72">
        <w:rPr>
          <w:rFonts w:cs="Tahoma"/>
        </w:rPr>
        <w:t xml:space="preserve"> </w:t>
      </w:r>
      <w:r>
        <w:rPr>
          <w:rFonts w:cs="Tahoma"/>
        </w:rPr>
        <w:t>to</w:t>
      </w:r>
      <w:proofErr w:type="gramEnd"/>
      <w:r>
        <w:rPr>
          <w:rFonts w:cs="Tahoma"/>
        </w:rPr>
        <w:t xml:space="preserve"> make many unpopular decisions to protect the public health</w:t>
      </w:r>
      <w:r w:rsidR="00365C5D">
        <w:rPr>
          <w:rFonts w:cs="Tahoma"/>
        </w:rPr>
        <w:t xml:space="preserve"> and safety</w:t>
      </w:r>
      <w:r>
        <w:rPr>
          <w:rFonts w:cs="Tahoma"/>
        </w:rPr>
        <w:t>, and they cannot</w:t>
      </w:r>
      <w:r w:rsidR="003D6D72">
        <w:rPr>
          <w:rFonts w:cs="Tahoma"/>
        </w:rPr>
        <w:t xml:space="preserve"> </w:t>
      </w:r>
      <w:r>
        <w:rPr>
          <w:rFonts w:cs="Tahoma"/>
        </w:rPr>
        <w:t>make these decisions if they are worried about liability for themselves or for their</w:t>
      </w:r>
      <w:r w:rsidR="00365C5D">
        <w:rPr>
          <w:rFonts w:cs="Tahoma"/>
        </w:rPr>
        <w:t xml:space="preserve"> governmental employer.</w:t>
      </w:r>
    </w:p>
    <w:p w14:paraId="50590699" w14:textId="77777777" w:rsidR="00D275D5" w:rsidRDefault="00D275D5" w:rsidP="00647C4B">
      <w:pPr>
        <w:pStyle w:val="Heading1"/>
      </w:pPr>
      <w:r>
        <w:t>Sovereign Immunity</w:t>
      </w:r>
    </w:p>
    <w:p w14:paraId="025F0A2E" w14:textId="77777777" w:rsidR="00D275D5" w:rsidRDefault="00D275D5" w:rsidP="00647C4B">
      <w:pPr>
        <w:pStyle w:val="BodyText"/>
      </w:pPr>
      <w:r>
        <w:t>Sovereign immunity refers to a government’s immunity from being sued in its own</w:t>
      </w:r>
      <w:r w:rsidR="003D6D72">
        <w:t xml:space="preserve"> </w:t>
      </w:r>
      <w:r>
        <w:t>courts without its consent. This doctrine dates as far back into the English common</w:t>
      </w:r>
      <w:r w:rsidR="003D6D72">
        <w:t xml:space="preserve"> </w:t>
      </w:r>
      <w:r>
        <w:t>law as the thirteenth century. The premise of sovereign immunity was that “the king</w:t>
      </w:r>
      <w:r w:rsidR="003D6D72">
        <w:t xml:space="preserve"> </w:t>
      </w:r>
      <w:r>
        <w:t>can do no wrong,” because his will was the law. If the king acted, it was inherently</w:t>
      </w:r>
      <w:r w:rsidR="003D6D72">
        <w:t xml:space="preserve"> </w:t>
      </w:r>
      <w:r>
        <w:t xml:space="preserve">lawful. Furthermore, there was no court high enough to try a king. </w:t>
      </w:r>
    </w:p>
    <w:p w14:paraId="13163E16" w14:textId="77777777" w:rsidR="00D275D5" w:rsidRDefault="00D275D5" w:rsidP="00647C4B">
      <w:pPr>
        <w:pStyle w:val="BodyText"/>
      </w:pPr>
      <w:r>
        <w:t>The doctrine made its way into American law when the states adopted the common</w:t>
      </w:r>
      <w:r w:rsidR="003D6D72">
        <w:t xml:space="preserve"> </w:t>
      </w:r>
      <w:r>
        <w:t>law from England. Prior to the tort claims acts, which waived the immunity for</w:t>
      </w:r>
      <w:r w:rsidR="003D6D72">
        <w:t xml:space="preserve"> </w:t>
      </w:r>
      <w:r>
        <w:t>certain claims, the only way to bring the federal or state government into court as a</w:t>
      </w:r>
      <w:r w:rsidR="003D6D72">
        <w:t xml:space="preserve"> </w:t>
      </w:r>
      <w:r>
        <w:t xml:space="preserve">defendant was to attain its consent. </w:t>
      </w:r>
      <w:r>
        <w:rPr>
          <w:i/>
          <w:iCs/>
        </w:rPr>
        <w:t>See</w:t>
      </w:r>
      <w:r>
        <w:t xml:space="preserve"> U.S. v. Mitchell, 463 U.S. 206, 212-13</w:t>
      </w:r>
      <w:r w:rsidR="003D6D72">
        <w:t xml:space="preserve"> </w:t>
      </w:r>
      <w:r>
        <w:t>(1983) (citing Paul Bator, et al., The Federal Courts and the Federal System 98 (2d</w:t>
      </w:r>
      <w:r w:rsidR="003D6D72">
        <w:t xml:space="preserve"> </w:t>
      </w:r>
      <w:r>
        <w:t xml:space="preserve">ed. 1973)). </w:t>
      </w:r>
    </w:p>
    <w:p w14:paraId="57588E63" w14:textId="77777777" w:rsidR="00D275D5" w:rsidRDefault="00D275D5" w:rsidP="00647C4B">
      <w:pPr>
        <w:pStyle w:val="BodyText"/>
      </w:pPr>
      <w:r>
        <w:t>From the ratification of the United States Constitution until the 1985s, there were no</w:t>
      </w:r>
      <w:r w:rsidR="003D6D72">
        <w:t xml:space="preserve"> </w:t>
      </w:r>
      <w:r>
        <w:t>exceptions to the sovereign immunity of the federal government. The United States</w:t>
      </w:r>
      <w:r w:rsidR="003D6D72">
        <w:t xml:space="preserve"> </w:t>
      </w:r>
      <w:r>
        <w:t>Constitution declared that "No Money shall be drawn from the Treasury, but in</w:t>
      </w:r>
      <w:r w:rsidR="003D6D72">
        <w:t xml:space="preserve"> </w:t>
      </w:r>
      <w:r>
        <w:t>Consequence of Appropriations made by Law." U.S. Const. art. I, § 9. Therefore, the</w:t>
      </w:r>
      <w:r w:rsidR="003D6D72">
        <w:t xml:space="preserve"> </w:t>
      </w:r>
      <w:r>
        <w:t>only way to obtain an enforceable judgment against the federal government was by</w:t>
      </w:r>
      <w:r w:rsidR="003D6D72">
        <w:t xml:space="preserve"> </w:t>
      </w:r>
      <w:r>
        <w:t xml:space="preserve">private bill. This meant that a would-be plaintiff had to petition his or her </w:t>
      </w:r>
      <w:proofErr w:type="gramStart"/>
      <w:r>
        <w:t>particular</w:t>
      </w:r>
      <w:r w:rsidR="003D6D72">
        <w:t xml:space="preserve"> </w:t>
      </w:r>
      <w:r>
        <w:t>Congressman</w:t>
      </w:r>
      <w:proofErr w:type="gramEnd"/>
      <w:r>
        <w:t xml:space="preserve"> to introduce a bill allowing a waiver of sovereign immunity for that</w:t>
      </w:r>
      <w:r w:rsidR="003D6D72">
        <w:t xml:space="preserve"> </w:t>
      </w:r>
      <w:r>
        <w:t>person's grievance. Congress could then pass that special bill, and the action could</w:t>
      </w:r>
      <w:r w:rsidR="003D6D72">
        <w:t xml:space="preserve"> </w:t>
      </w:r>
      <w:r>
        <w:t xml:space="preserve">proceed in court. </w:t>
      </w:r>
    </w:p>
    <w:p w14:paraId="7B5B45E0" w14:textId="77777777" w:rsidR="00D275D5" w:rsidRDefault="00D275D5" w:rsidP="00647C4B">
      <w:pPr>
        <w:pStyle w:val="BodyText"/>
      </w:pPr>
      <w:r>
        <w:lastRenderedPageBreak/>
        <w:t>Congress attempted to delegate this claims processing work to the courts. However,</w:t>
      </w:r>
      <w:r w:rsidR="003D6D72">
        <w:t xml:space="preserve"> </w:t>
      </w:r>
      <w:r>
        <w:t>the U.S. Supreme Court held that this delegation violated separation of powers.</w:t>
      </w:r>
      <w:r w:rsidR="003D6D72">
        <w:t xml:space="preserve"> </w:t>
      </w:r>
      <w:proofErr w:type="spellStart"/>
      <w:r>
        <w:t>Hayburns</w:t>
      </w:r>
      <w:proofErr w:type="spellEnd"/>
      <w:r>
        <w:t xml:space="preserve"> Case, 2 U.S. 409 (1792). As the federal government gradually expanded</w:t>
      </w:r>
      <w:r w:rsidR="003D6D72">
        <w:t xml:space="preserve"> </w:t>
      </w:r>
      <w:r>
        <w:t>its spheres of influence, more and more private bills were introduced. This situation</w:t>
      </w:r>
      <w:r w:rsidR="003D6D72">
        <w:t xml:space="preserve"> </w:t>
      </w:r>
      <w:r>
        <w:t>was not acceptable to Congress because the sheer number of claims meant there</w:t>
      </w:r>
      <w:r w:rsidR="003D6D72">
        <w:t xml:space="preserve"> </w:t>
      </w:r>
      <w:r>
        <w:t>was no way to adequately investigate the merits of any claim before voting</w:t>
      </w:r>
      <w:r w:rsidR="003D6D72">
        <w:t xml:space="preserve"> </w:t>
      </w:r>
      <w:r>
        <w:t>approving the immunity waiver. This might allow the approval of an otherwise</w:t>
      </w:r>
      <w:r w:rsidR="003D6D72">
        <w:t xml:space="preserve"> </w:t>
      </w:r>
      <w:r>
        <w:t>unwarranted claim. The process was also difficult for litigants because of logistical</w:t>
      </w:r>
      <w:r w:rsidR="003D6D72">
        <w:t xml:space="preserve"> </w:t>
      </w:r>
      <w:r>
        <w:t>difficulties. As a result, the immunity- waiver process was changed in 1855, when</w:t>
      </w:r>
      <w:r w:rsidR="003D6D72">
        <w:t xml:space="preserve"> </w:t>
      </w:r>
      <w:r>
        <w:t>the Court of Claims was established.</w:t>
      </w:r>
    </w:p>
    <w:p w14:paraId="7794A160" w14:textId="77777777" w:rsidR="00D275D5" w:rsidRDefault="00D275D5" w:rsidP="00E60BF1">
      <w:pPr>
        <w:pStyle w:val="MMTopic3"/>
        <w:numPr>
          <w:ilvl w:val="0"/>
          <w:numId w:val="0"/>
        </w:numPr>
        <w:ind w:left="360"/>
        <w:outlineLvl w:val="1"/>
      </w:pPr>
      <w:r>
        <w:t>The Court of Claims</w:t>
      </w:r>
    </w:p>
    <w:p w14:paraId="1BFFDB96" w14:textId="77777777" w:rsidR="00D275D5" w:rsidRDefault="00D275D5" w:rsidP="00647C4B">
      <w:pPr>
        <w:pStyle w:val="BodyText"/>
      </w:pPr>
      <w:r>
        <w:t>Congress conferred jurisdiction upon the Court of Federal Claims for "all claims</w:t>
      </w:r>
      <w:r w:rsidR="003D6D72">
        <w:t xml:space="preserve"> </w:t>
      </w:r>
      <w:r>
        <w:t>founded upon any law of Congress, or upon any regulation of an executive</w:t>
      </w:r>
      <w:r w:rsidR="003D6D72">
        <w:t xml:space="preserve"> </w:t>
      </w:r>
      <w:r>
        <w:t>department, or upon any contract, express or implied, with the government of the</w:t>
      </w:r>
      <w:r w:rsidR="003D6D72">
        <w:t xml:space="preserve"> </w:t>
      </w:r>
      <w:r>
        <w:t xml:space="preserve">United States." Court of Claims Act of 1855, </w:t>
      </w:r>
      <w:proofErr w:type="spellStart"/>
      <w:r>
        <w:t>ch.</w:t>
      </w:r>
      <w:proofErr w:type="spellEnd"/>
      <w:r>
        <w:t xml:space="preserve"> 122, § 1, 10 Stat. 612. Originally,</w:t>
      </w:r>
      <w:r w:rsidR="003D6D72">
        <w:t xml:space="preserve"> </w:t>
      </w:r>
      <w:r>
        <w:t>this Court of Claims was an advisory tribunal which would investigate claims made</w:t>
      </w:r>
      <w:r w:rsidR="003D6D72">
        <w:t xml:space="preserve"> </w:t>
      </w:r>
      <w:r>
        <w:t>against the government and recommend appropriate action to Congress, which</w:t>
      </w:r>
      <w:r w:rsidR="003D6D72">
        <w:t xml:space="preserve"> </w:t>
      </w:r>
      <w:r>
        <w:t>would then appropriate money by private bill. Because the Court of Claims was</w:t>
      </w:r>
      <w:r w:rsidR="003D6D72">
        <w:t xml:space="preserve"> </w:t>
      </w:r>
      <w:r>
        <w:t xml:space="preserve">originally only empowered to issue advisory opinions, it </w:t>
      </w:r>
      <w:proofErr w:type="gramStart"/>
      <w:r>
        <w:t>was considered to be</w:t>
      </w:r>
      <w:proofErr w:type="gramEnd"/>
      <w:r>
        <w:t xml:space="preserve"> a</w:t>
      </w:r>
      <w:r w:rsidR="003D6D72">
        <w:t xml:space="preserve"> </w:t>
      </w:r>
      <w:r>
        <w:t>legislative or Article I court. This meant the judges did not receive the constitutional</w:t>
      </w:r>
      <w:r w:rsidR="003D6D72">
        <w:t xml:space="preserve"> </w:t>
      </w:r>
      <w:r>
        <w:t>protections of tenure during good behavior and assurance against salary diminution</w:t>
      </w:r>
      <w:r w:rsidR="003D6D72">
        <w:t xml:space="preserve"> </w:t>
      </w:r>
      <w:r>
        <w:t xml:space="preserve">that Article III judges received. </w:t>
      </w:r>
    </w:p>
    <w:p w14:paraId="4197B8C6" w14:textId="77777777" w:rsidR="00D275D5" w:rsidRDefault="00D275D5" w:rsidP="00647C4B">
      <w:pPr>
        <w:pStyle w:val="BodyText"/>
      </w:pPr>
      <w:r>
        <w:t>In his State of the Union Message of 1861, President Lincoln recommended that the</w:t>
      </w:r>
      <w:r w:rsidR="003D6D72">
        <w:t xml:space="preserve"> </w:t>
      </w:r>
      <w:r>
        <w:t>court be authorized to render final judgments. He declared that it is "as much the</w:t>
      </w:r>
      <w:r w:rsidR="003D6D72">
        <w:t xml:space="preserve"> </w:t>
      </w:r>
      <w:r>
        <w:t>duty of Government to render prompt justice against itself, in favor of citizens, as it</w:t>
      </w:r>
      <w:r w:rsidR="003D6D72">
        <w:t xml:space="preserve"> </w:t>
      </w:r>
      <w:r>
        <w:t>is to administer the same between private individuals." Cong. Globe, 37th Cong., 2d</w:t>
      </w:r>
      <w:r w:rsidR="003D6D72">
        <w:t xml:space="preserve"> </w:t>
      </w:r>
      <w:r>
        <w:t>Sess., app. 2 (1862). In 1863 Congress adopted Lincoln's recommendation and the</w:t>
      </w:r>
      <w:r w:rsidR="003D6D72">
        <w:t xml:space="preserve"> </w:t>
      </w:r>
      <w:r>
        <w:t>decisions of the court became binding, meaning Congress was no longer required to</w:t>
      </w:r>
      <w:r w:rsidR="003D6D72">
        <w:t xml:space="preserve"> </w:t>
      </w:r>
      <w:r>
        <w:t xml:space="preserve">approve the judgments. Act of March 3, 1863, </w:t>
      </w:r>
      <w:proofErr w:type="spellStart"/>
      <w:r>
        <w:t>ch.</w:t>
      </w:r>
      <w:proofErr w:type="spellEnd"/>
      <w:r>
        <w:t xml:space="preserve"> 92, 12 Stat. 765. Congress granted</w:t>
      </w:r>
      <w:r w:rsidR="003D6D72">
        <w:t xml:space="preserve"> </w:t>
      </w:r>
      <w:r>
        <w:t>appellate jurisdiction to the Supreme Court over Court of Claims judgments in 1866.</w:t>
      </w:r>
      <w:r w:rsidR="003D6D72">
        <w:t xml:space="preserve"> </w:t>
      </w:r>
      <w:r>
        <w:t xml:space="preserve">Act of March 17, 1866, </w:t>
      </w:r>
      <w:r>
        <w:rPr>
          <w:i/>
          <w:iCs/>
        </w:rPr>
        <w:t>c.</w:t>
      </w:r>
      <w:r>
        <w:t xml:space="preserve"> 19, (14 St. 9). </w:t>
      </w:r>
      <w:r>
        <w:rPr>
          <w:i/>
          <w:iCs/>
        </w:rPr>
        <w:t>See also</w:t>
      </w:r>
      <w:r>
        <w:t xml:space="preserve"> DeGroot v. U.S., 72 U.S. 419 (1866)</w:t>
      </w:r>
      <w:r w:rsidR="003D6D72">
        <w:t xml:space="preserve"> </w:t>
      </w:r>
      <w:r>
        <w:t xml:space="preserve">(Supreme Court hears an appeal from Court of Claims). </w:t>
      </w:r>
    </w:p>
    <w:p w14:paraId="74984F01" w14:textId="77777777" w:rsidR="00D275D5" w:rsidRDefault="00D275D5" w:rsidP="00647C4B">
      <w:pPr>
        <w:pStyle w:val="BodyText"/>
      </w:pPr>
      <w:r>
        <w:t>Once the Court of Claims was granted power to render final judgments, its status as</w:t>
      </w:r>
      <w:r w:rsidR="003D6D72">
        <w:t xml:space="preserve"> </w:t>
      </w:r>
      <w:r>
        <w:t>an Article I court was unsure. The Supreme Court decided in Williams v. United</w:t>
      </w:r>
      <w:r w:rsidR="003D6D72">
        <w:t xml:space="preserve"> </w:t>
      </w:r>
      <w:r>
        <w:t>States, 289 U.S. 553 (1933), that the Court of Claims was an Article I court and</w:t>
      </w:r>
      <w:r w:rsidR="003D6D72">
        <w:t xml:space="preserve"> </w:t>
      </w:r>
      <w:r>
        <w:t>Congress could therefore reduce the salaries of the judges on that court, which</w:t>
      </w:r>
      <w:r w:rsidR="003D6D72">
        <w:t xml:space="preserve"> </w:t>
      </w:r>
      <w:r>
        <w:t xml:space="preserve">would be constitutionally forbidden for Article III courts. </w:t>
      </w:r>
    </w:p>
    <w:p w14:paraId="121BD9B8" w14:textId="77777777" w:rsidR="00D275D5" w:rsidRDefault="00D275D5" w:rsidP="00E60BF1">
      <w:pPr>
        <w:pStyle w:val="MMTopic3"/>
        <w:numPr>
          <w:ilvl w:val="0"/>
          <w:numId w:val="0"/>
        </w:numPr>
        <w:ind w:left="360"/>
        <w:outlineLvl w:val="1"/>
      </w:pPr>
      <w:r>
        <w:t>The Tucker Act</w:t>
      </w:r>
    </w:p>
    <w:p w14:paraId="517C212A" w14:textId="77777777" w:rsidR="00D275D5" w:rsidRDefault="00D275D5" w:rsidP="00647C4B">
      <w:pPr>
        <w:pStyle w:val="BodyText"/>
      </w:pPr>
      <w:r>
        <w:t>The Tucker Act was passed in 1887. This law was a jurisdictional statute which</w:t>
      </w:r>
      <w:r w:rsidR="003D6D72">
        <w:t xml:space="preserve"> </w:t>
      </w:r>
      <w:r>
        <w:t xml:space="preserve">expanded the scope of claims the Court of Claims could </w:t>
      </w:r>
      <w:proofErr w:type="gramStart"/>
      <w:r>
        <w:t>hear, but</w:t>
      </w:r>
      <w:proofErr w:type="gramEnd"/>
      <w:r>
        <w:t xml:space="preserve"> did not create any</w:t>
      </w:r>
      <w:r w:rsidR="003D6D72">
        <w:t xml:space="preserve"> </w:t>
      </w:r>
      <w:r>
        <w:t xml:space="preserve">new substantive rights. </w:t>
      </w:r>
      <w:proofErr w:type="spellStart"/>
      <w:r>
        <w:t>Hatzlachh</w:t>
      </w:r>
      <w:proofErr w:type="spellEnd"/>
      <w:r>
        <w:t xml:space="preserve"> Supply Co. v. United States, 444 U.S. 460 (1980).</w:t>
      </w:r>
      <w:r w:rsidR="003D6D72">
        <w:t xml:space="preserve"> </w:t>
      </w:r>
      <w:r>
        <w:t>The Tucker Act did two things: (1) Plaintiffs could seek judgments against the</w:t>
      </w:r>
      <w:r w:rsidR="003D6D72">
        <w:t xml:space="preserve"> </w:t>
      </w:r>
      <w:r>
        <w:t>federal government for claims based upon the U.S. Constitution; (2) Circuit courts</w:t>
      </w:r>
      <w:r w:rsidR="003D6D72">
        <w:t xml:space="preserve"> </w:t>
      </w:r>
      <w:r>
        <w:t xml:space="preserve">received </w:t>
      </w:r>
      <w:r>
        <w:lastRenderedPageBreak/>
        <w:t>concurrent jurisdiction with the Court of Claims for money damage claims of</w:t>
      </w:r>
      <w:r w:rsidR="003D6D72">
        <w:t xml:space="preserve"> </w:t>
      </w:r>
      <w:r>
        <w:t>up to $10,000. In 1911, the jurisdiction of the circuit courts was transferred by</w:t>
      </w:r>
      <w:r w:rsidR="003D6D72">
        <w:t xml:space="preserve"> </w:t>
      </w:r>
      <w:r>
        <w:t xml:space="preserve">Congress to the federal district courts. </w:t>
      </w:r>
    </w:p>
    <w:p w14:paraId="22112060" w14:textId="77777777" w:rsidR="00D275D5" w:rsidRDefault="00D275D5" w:rsidP="00647C4B">
      <w:pPr>
        <w:pStyle w:val="BodyText"/>
      </w:pPr>
      <w:r>
        <w:t>In the Federal Courts Administration Act of 1992 (P.L. 102-572 § 902), the Court of</w:t>
      </w:r>
      <w:r w:rsidR="003D6D72">
        <w:t xml:space="preserve"> </w:t>
      </w:r>
      <w:r>
        <w:t>Claims was renamed the Court of Federal Claims. The court is established under</w:t>
      </w:r>
      <w:r w:rsidR="003D6D72">
        <w:t xml:space="preserve"> </w:t>
      </w:r>
      <w:r>
        <w:t>Article I. 28 U.S.C. § 171(a). The bench consists of sixteen judges, appointed by the</w:t>
      </w:r>
      <w:r w:rsidR="003D6D72">
        <w:t xml:space="preserve"> </w:t>
      </w:r>
      <w:r>
        <w:t>president for terms of fifteen years. Procedure is in accordance with the Rules of the</w:t>
      </w:r>
      <w:r w:rsidR="003D6D72">
        <w:t xml:space="preserve"> </w:t>
      </w:r>
      <w:r>
        <w:t>United States Claims Court, which are derived from the Federal Rules of Civil</w:t>
      </w:r>
      <w:r w:rsidR="003D6D72">
        <w:t xml:space="preserve"> </w:t>
      </w:r>
      <w:r>
        <w:t>Procedure. Since 1982, the Court of Appeals for the Federal Circuit has is the route</w:t>
      </w:r>
      <w:r w:rsidR="003D6D72">
        <w:t xml:space="preserve"> </w:t>
      </w:r>
      <w:r>
        <w:t xml:space="preserve">for an appeal from a Court of Federal Claims ruling. 28 U.S.C. § 1295(a)(3). </w:t>
      </w:r>
    </w:p>
    <w:p w14:paraId="0613CDBB" w14:textId="77777777" w:rsidR="00D275D5" w:rsidRDefault="00D275D5" w:rsidP="00647C4B">
      <w:pPr>
        <w:pStyle w:val="BodyText"/>
      </w:pPr>
      <w:r>
        <w:t>It has jurisdiction to “render judgment upon any claim against the United States</w:t>
      </w:r>
      <w:r w:rsidR="003D6D72">
        <w:t xml:space="preserve"> </w:t>
      </w:r>
      <w:r>
        <w:t>founded either upon the Constitution, or any Act of Congress or any regulation of an</w:t>
      </w:r>
      <w:r w:rsidR="003D6D72">
        <w:t xml:space="preserve"> </w:t>
      </w:r>
      <w:r>
        <w:t>executive department, or upon any express or implied contract with the United</w:t>
      </w:r>
      <w:r w:rsidR="003D6D72">
        <w:t xml:space="preserve"> </w:t>
      </w:r>
      <w:r>
        <w:t>States, or for liquidated or unliquidated damages in cases not sounding in tort.” 28</w:t>
      </w:r>
      <w:r w:rsidR="003D6D72">
        <w:t xml:space="preserve"> </w:t>
      </w:r>
      <w:r>
        <w:t>U.S.C. § 1491. As such, the Court of Federal Claims hears three main types of suits</w:t>
      </w:r>
      <w:r w:rsidR="003D6D72">
        <w:t xml:space="preserve"> </w:t>
      </w:r>
      <w:r>
        <w:t>against the government: government contract disputes; Fifth Amendment takings</w:t>
      </w:r>
      <w:r w:rsidR="003D6D72">
        <w:t xml:space="preserve"> </w:t>
      </w:r>
      <w:r>
        <w:t>claims; and claims for tax refunds. The Tucker Act waives sovereign immunity for</w:t>
      </w:r>
      <w:r w:rsidR="003D6D72">
        <w:t xml:space="preserve"> </w:t>
      </w:r>
      <w:r>
        <w:t>such claims against the federal government. United States v. Mitchell, 463 U.S. 206</w:t>
      </w:r>
      <w:r w:rsidR="003D6D72">
        <w:t xml:space="preserve"> </w:t>
      </w:r>
      <w:r>
        <w:t>(1983). Generally, only money damages are available in a Tucker Act claim. United</w:t>
      </w:r>
      <w:r w:rsidR="003D6D72">
        <w:t xml:space="preserve"> </w:t>
      </w:r>
      <w:r>
        <w:t>States v. King, 395 U.S. 1 (1969). The Court of Federal Claims must accept as</w:t>
      </w:r>
      <w:r w:rsidR="003D6D72">
        <w:t xml:space="preserve"> </w:t>
      </w:r>
      <w:r>
        <w:t>binding precedent any decision published by the former Court of Claims. West</w:t>
      </w:r>
      <w:r w:rsidR="003D6D72">
        <w:t xml:space="preserve"> </w:t>
      </w:r>
      <w:r>
        <w:t>Seattle Gen. Hospital, Inc. v. United States, 1 Cl. Ct. 745 (1983). The Court of</w:t>
      </w:r>
      <w:r w:rsidR="003D6D72">
        <w:t xml:space="preserve"> </w:t>
      </w:r>
      <w:r>
        <w:t>Federal Claims lacks jurisdiction under the Tucker Act to hear tort claims against the</w:t>
      </w:r>
      <w:r w:rsidR="003D6D72">
        <w:t xml:space="preserve"> </w:t>
      </w:r>
      <w:r>
        <w:t>federal government; such claims must be brought under the Federal Tort Claims Act.</w:t>
      </w:r>
      <w:r w:rsidR="003D6D72">
        <w:t xml:space="preserve"> </w:t>
      </w:r>
      <w:r>
        <w:t>Indeed, until the passage of the FTCA, private bill was the continued method for</w:t>
      </w:r>
      <w:r w:rsidR="003D6D72">
        <w:t xml:space="preserve"> </w:t>
      </w:r>
      <w:r>
        <w:t>bringing tort claims against the federal government.</w:t>
      </w:r>
    </w:p>
    <w:p w14:paraId="75E52000" w14:textId="14FB9425" w:rsidR="00D275D5" w:rsidRDefault="003628C3" w:rsidP="00FE11B9">
      <w:pPr>
        <w:pStyle w:val="Heading1"/>
      </w:pPr>
      <w:r>
        <w:t>Governmental Liability for Torts</w:t>
      </w:r>
    </w:p>
    <w:p w14:paraId="7209988F" w14:textId="77777777" w:rsidR="00D275D5" w:rsidRDefault="00552E59" w:rsidP="00647C4B">
      <w:pPr>
        <w:pStyle w:val="BodyText"/>
      </w:pPr>
      <w:r>
        <w:t xml:space="preserve">States and the federal </w:t>
      </w:r>
      <w:r w:rsidR="00D275D5">
        <w:t xml:space="preserve">government </w:t>
      </w:r>
      <w:r>
        <w:t xml:space="preserve">are </w:t>
      </w:r>
      <w:r w:rsidR="00D275D5">
        <w:t xml:space="preserve">immune from </w:t>
      </w:r>
      <w:r>
        <w:t xml:space="preserve">tort unless they </w:t>
      </w:r>
      <w:r w:rsidR="00D275D5">
        <w:t>waive</w:t>
      </w:r>
      <w:r>
        <w:t xml:space="preserve"> </w:t>
      </w:r>
      <w:proofErr w:type="spellStart"/>
      <w:r>
        <w:t>soverign</w:t>
      </w:r>
      <w:proofErr w:type="spellEnd"/>
      <w:r>
        <w:t xml:space="preserve"> </w:t>
      </w:r>
      <w:r w:rsidR="00D275D5">
        <w:t xml:space="preserve">immunity through the </w:t>
      </w:r>
      <w:r>
        <w:t xml:space="preserve">statutes or through their state constitution. (Louisiana abolished state </w:t>
      </w:r>
      <w:proofErr w:type="spellStart"/>
      <w:r>
        <w:t>soverign</w:t>
      </w:r>
      <w:proofErr w:type="spellEnd"/>
      <w:r>
        <w:t xml:space="preserve"> </w:t>
      </w:r>
      <w:proofErr w:type="spellStart"/>
      <w:r>
        <w:t>immuniuty</w:t>
      </w:r>
      <w:proofErr w:type="spellEnd"/>
      <w:r>
        <w:t xml:space="preserve"> when it revised </w:t>
      </w:r>
      <w:proofErr w:type="spellStart"/>
      <w:r>
        <w:t>it's</w:t>
      </w:r>
      <w:proofErr w:type="spellEnd"/>
      <w:r>
        <w:t xml:space="preserve"> </w:t>
      </w:r>
      <w:proofErr w:type="spellStart"/>
      <w:r>
        <w:t>constition</w:t>
      </w:r>
      <w:proofErr w:type="spellEnd"/>
      <w:r>
        <w:t xml:space="preserve"> in 1974.)</w:t>
      </w:r>
      <w:r w:rsidR="00D275D5">
        <w:t xml:space="preserve"> These</w:t>
      </w:r>
      <w:r w:rsidR="003D6D72">
        <w:t xml:space="preserve"> </w:t>
      </w:r>
      <w:r w:rsidR="00D275D5">
        <w:t>laws waiving immunity provide the only mechanism for suing the federal</w:t>
      </w:r>
      <w:r w:rsidR="003D6D72">
        <w:t xml:space="preserve"> </w:t>
      </w:r>
      <w:r w:rsidR="00D275D5">
        <w:t>government for tort damages, and, as discussed later, some types of damages, such</w:t>
      </w:r>
      <w:r w:rsidR="003D6D72">
        <w:t xml:space="preserve"> </w:t>
      </w:r>
      <w:r w:rsidR="00D275D5">
        <w:t>as defamation, cannot be recovered against the federal government.</w:t>
      </w:r>
      <w:r>
        <w:t xml:space="preserve"> As will be discussed, Congress preempted state immunity through the Civil Rights Act after the Civil War, allowing claims for certain torts without the requirement that the state waive its </w:t>
      </w:r>
      <w:proofErr w:type="spellStart"/>
      <w:r>
        <w:t>soverign</w:t>
      </w:r>
      <w:proofErr w:type="spellEnd"/>
      <w:r>
        <w:t xml:space="preserve"> immunity.</w:t>
      </w:r>
    </w:p>
    <w:p w14:paraId="752E89D3" w14:textId="77777777" w:rsidR="00D275D5" w:rsidRDefault="00D275D5" w:rsidP="004E5893">
      <w:pPr>
        <w:pStyle w:val="MMTopic3"/>
        <w:numPr>
          <w:ilvl w:val="0"/>
          <w:numId w:val="0"/>
        </w:numPr>
        <w:ind w:left="360"/>
        <w:outlineLvl w:val="0"/>
      </w:pPr>
      <w:r>
        <w:t>Federal Tort Claims Acts (FTCA)</w:t>
      </w:r>
    </w:p>
    <w:p w14:paraId="156A68CE" w14:textId="77777777" w:rsidR="00D275D5" w:rsidRDefault="00D275D5" w:rsidP="00647C4B">
      <w:pPr>
        <w:pStyle w:val="BodyText"/>
      </w:pPr>
      <w:r>
        <w:t>Tort claims acts (TCA) are statutes that waive the government's sovereign immunity</w:t>
      </w:r>
      <w:r w:rsidR="003D6D72">
        <w:t xml:space="preserve"> </w:t>
      </w:r>
      <w:r>
        <w:t>from tort liability. These statutes allow courts to exercise jurisdiction over the</w:t>
      </w:r>
      <w:r w:rsidR="003D6D72">
        <w:t xml:space="preserve"> </w:t>
      </w:r>
      <w:r>
        <w:t>government in certain cases, thus allowing citizens to seek relief for torts committed</w:t>
      </w:r>
      <w:r w:rsidR="003D6D72">
        <w:t xml:space="preserve"> </w:t>
      </w:r>
      <w:r>
        <w:t>by</w:t>
      </w:r>
      <w:r w:rsidR="00E4030C">
        <w:t xml:space="preserve"> government employees</w:t>
      </w:r>
      <w:r>
        <w:t>. TCAs remove the need to directly petition the legislature for tort</w:t>
      </w:r>
      <w:r w:rsidR="003D6D72">
        <w:t xml:space="preserve"> </w:t>
      </w:r>
      <w:r>
        <w:t>damages with a private bill, making relief from the government much more</w:t>
      </w:r>
      <w:r w:rsidR="003D6D72">
        <w:t xml:space="preserve"> </w:t>
      </w:r>
      <w:r>
        <w:t xml:space="preserve">available. </w:t>
      </w:r>
    </w:p>
    <w:p w14:paraId="21616DA2" w14:textId="77777777" w:rsidR="00E00395" w:rsidRDefault="00E00395" w:rsidP="00647C4B">
      <w:pPr>
        <w:pStyle w:val="BodyText"/>
      </w:pPr>
      <w:r>
        <w:lastRenderedPageBreak/>
        <w:t>The FTCA was enacted in 1946 to make the federal government liable in suit for the torts of its employees in the same way as a private individual is liable, although with some exceptions. Since there was no federal tort law to apply, the FTCA relies on substantive tort law of the state in which the claim arose.</w:t>
      </w:r>
      <w:r>
        <w:rPr>
          <w:rFonts w:ascii="Verdana" w:hAnsi="Verdana" w:cs="Verdana"/>
          <w:sz w:val="18"/>
          <w:szCs w:val="18"/>
        </w:rPr>
        <w:t xml:space="preserve"> </w:t>
      </w:r>
      <w:proofErr w:type="spellStart"/>
      <w:r>
        <w:t>Molzof</w:t>
      </w:r>
      <w:proofErr w:type="spellEnd"/>
      <w:r>
        <w:t xml:space="preserve"> v. U.S., 502 U.S. 301 (1992). The ramifications of this are that if a particular tort is not recognized in that state, the plaintiff has no case. Midwest Knitting Mills, Inc. v. U.S., 950 F.2d 1295 (7th Cir. 1991).</w:t>
      </w:r>
    </w:p>
    <w:p w14:paraId="2E4351C5" w14:textId="77777777" w:rsidR="00D275D5" w:rsidRDefault="00D275D5" w:rsidP="00647C4B">
      <w:pPr>
        <w:pStyle w:val="BodyText"/>
      </w:pPr>
      <w:r>
        <w:t>The FTCA allows recovery "for injury or loss of property, or personal injury or death</w:t>
      </w:r>
      <w:r w:rsidR="003D6D72">
        <w:t xml:space="preserve"> </w:t>
      </w:r>
      <w:r>
        <w:t>caused by the negligent or wrongful act or omission of any employee of the</w:t>
      </w:r>
      <w:r w:rsidR="003D6D72">
        <w:t xml:space="preserve"> </w:t>
      </w:r>
      <w:r>
        <w:t>Government while acting within the scope of his office or employment, under</w:t>
      </w:r>
      <w:r w:rsidR="003D6D72">
        <w:t xml:space="preserve"> </w:t>
      </w:r>
      <w:r>
        <w:t>circumstances where the United States, if a private person, would be liable to the</w:t>
      </w:r>
      <w:r w:rsidR="003D6D72">
        <w:t xml:space="preserve"> </w:t>
      </w:r>
      <w:r>
        <w:t>claimant in accordance with the law of the place where the act or omission</w:t>
      </w:r>
      <w:r w:rsidR="003D6D72">
        <w:t xml:space="preserve"> </w:t>
      </w:r>
      <w:r>
        <w:t>occurred." It allows people to sue federal government officials for certain actions by</w:t>
      </w:r>
      <w:r w:rsidR="003D6D72">
        <w:t xml:space="preserve"> </w:t>
      </w:r>
      <w:r>
        <w:t xml:space="preserve">waiving the government’s immunity from tort liability. </w:t>
      </w:r>
    </w:p>
    <w:p w14:paraId="67A4CF7A" w14:textId="77777777" w:rsidR="00D275D5" w:rsidRDefault="00D275D5" w:rsidP="00647C4B">
      <w:pPr>
        <w:pStyle w:val="BodyText"/>
      </w:pPr>
      <w:r>
        <w:t>Courts will strictly construe claims of government waiver of immunity in favor of the</w:t>
      </w:r>
      <w:r w:rsidR="003D6D72">
        <w:t xml:space="preserve"> </w:t>
      </w:r>
      <w:r>
        <w:t>government. If a claim is ambiguous, the government will get the benefit of the</w:t>
      </w:r>
      <w:r w:rsidR="003D6D72">
        <w:t xml:space="preserve"> </w:t>
      </w:r>
      <w:r>
        <w:t xml:space="preserve">doubt and retain immunity from liability. </w:t>
      </w:r>
    </w:p>
    <w:p w14:paraId="1400C80D" w14:textId="77777777" w:rsidR="00D275D5" w:rsidRDefault="00D275D5" w:rsidP="00647C4B">
      <w:pPr>
        <w:pStyle w:val="BodyText"/>
      </w:pPr>
      <w:r>
        <w:t>The FTCA operates under a vicarious liability theory. If a suit is brought against a</w:t>
      </w:r>
      <w:r w:rsidR="003D6D72">
        <w:t xml:space="preserve"> </w:t>
      </w:r>
      <w:r>
        <w:t>federal official for a common law tort, the federal government becomes the</w:t>
      </w:r>
      <w:r w:rsidR="003D6D72">
        <w:t xml:space="preserve"> </w:t>
      </w:r>
      <w:r>
        <w:t>defendant. The federal official would be dismissed from the suit, and the federal</w:t>
      </w:r>
      <w:r w:rsidR="003D6D72">
        <w:t xml:space="preserve"> </w:t>
      </w:r>
      <w:r>
        <w:t>government would be the defendant. Any damages awarded to the plaintiff would</w:t>
      </w:r>
      <w:r w:rsidR="003D6D72">
        <w:t xml:space="preserve"> </w:t>
      </w:r>
      <w:r>
        <w:t>be paid by the federal government, not by the federal official. Therefore, the official</w:t>
      </w:r>
      <w:r w:rsidR="003D6D72">
        <w:t xml:space="preserve"> </w:t>
      </w:r>
      <w:r>
        <w:t xml:space="preserve">will not be held accountable personally for damages awarded to the plaintiff, </w:t>
      </w:r>
      <w:proofErr w:type="gramStart"/>
      <w:r>
        <w:t>as long</w:t>
      </w:r>
      <w:r w:rsidR="003D6D72">
        <w:t xml:space="preserve"> </w:t>
      </w:r>
      <w:r>
        <w:t>as</w:t>
      </w:r>
      <w:proofErr w:type="gramEnd"/>
      <w:r>
        <w:t xml:space="preserve"> the official was working within his scope of employment. Whether an official was</w:t>
      </w:r>
      <w:r w:rsidR="003D6D72">
        <w:t xml:space="preserve"> </w:t>
      </w:r>
      <w:r>
        <w:t xml:space="preserve">working within the scope of his employment is determined on a case-by- case </w:t>
      </w:r>
      <w:proofErr w:type="gramStart"/>
      <w:r>
        <w:t>basis,</w:t>
      </w:r>
      <w:r w:rsidR="003D6D72">
        <w:t xml:space="preserve"> </w:t>
      </w:r>
      <w:r>
        <w:t>but</w:t>
      </w:r>
      <w:proofErr w:type="gramEnd"/>
      <w:r>
        <w:t xml:space="preserve"> will include any normal and routine activities associated with the position he</w:t>
      </w:r>
      <w:r w:rsidR="003D6D72">
        <w:t xml:space="preserve"> </w:t>
      </w:r>
      <w:r>
        <w:t>holds.</w:t>
      </w:r>
    </w:p>
    <w:p w14:paraId="7D0751F1" w14:textId="77777777" w:rsidR="00D275D5" w:rsidRDefault="00D275D5" w:rsidP="004E5893">
      <w:pPr>
        <w:pStyle w:val="MMTopic3"/>
        <w:numPr>
          <w:ilvl w:val="0"/>
          <w:numId w:val="0"/>
        </w:numPr>
        <w:ind w:left="360"/>
        <w:outlineLvl w:val="1"/>
      </w:pPr>
      <w:r>
        <w:t>Process for Filing a Demand and Lawsuit</w:t>
      </w:r>
    </w:p>
    <w:p w14:paraId="1CDF85BC" w14:textId="77777777" w:rsidR="00D275D5" w:rsidRDefault="00D275D5" w:rsidP="00647C4B">
      <w:pPr>
        <w:pStyle w:val="BodyText"/>
      </w:pPr>
      <w:r>
        <w:t>The district courts have exclusive jurisdiction over actions under the FTCA. Also,</w:t>
      </w:r>
      <w:r w:rsidR="003D6D72">
        <w:t xml:space="preserve"> </w:t>
      </w:r>
      <w:r>
        <w:t>the FTCA is the exclusive remedy in any civil case resulting from a tort committed</w:t>
      </w:r>
      <w:r w:rsidR="003D6D72">
        <w:t xml:space="preserve"> </w:t>
      </w:r>
      <w:r>
        <w:t>by a federal employee in the course and scope of employment. If suit is brought</w:t>
      </w:r>
      <w:r w:rsidR="003D6D72">
        <w:t xml:space="preserve"> </w:t>
      </w:r>
      <w:r>
        <w:t>against the employee rather than the United States, the Attorney General will</w:t>
      </w:r>
      <w:r w:rsidR="003D6D72">
        <w:t xml:space="preserve"> </w:t>
      </w:r>
      <w:proofErr w:type="gramStart"/>
      <w:r>
        <w:t>defend</w:t>
      </w:r>
      <w:proofErr w:type="gramEnd"/>
      <w:r>
        <w:t xml:space="preserve"> and the suit may be removed to a federal court if it has been commenced</w:t>
      </w:r>
      <w:r w:rsidR="003D6D72">
        <w:t xml:space="preserve"> </w:t>
      </w:r>
      <w:r>
        <w:t>in a state court. However, the Attorney General must first certify that the</w:t>
      </w:r>
      <w:r w:rsidR="003D6D72">
        <w:t xml:space="preserve"> </w:t>
      </w:r>
      <w:r>
        <w:t>employee was acting within the scope of his employment. Thus, any person who</w:t>
      </w:r>
      <w:r w:rsidR="003D6D72">
        <w:t xml:space="preserve"> </w:t>
      </w:r>
      <w:r>
        <w:t>believes he has been injured by a government employee acting within the scope</w:t>
      </w:r>
      <w:r w:rsidR="003D6D72">
        <w:t xml:space="preserve"> </w:t>
      </w:r>
      <w:r>
        <w:t>of his official duties will effectively be in litigation with the federal government</w:t>
      </w:r>
      <w:r w:rsidR="003D6D72">
        <w:t xml:space="preserve"> </w:t>
      </w:r>
      <w:r>
        <w:t>once the Attorney General's certification of the employee's scope of employment</w:t>
      </w:r>
      <w:r w:rsidR="003D6D72">
        <w:t xml:space="preserve"> </w:t>
      </w:r>
      <w:r>
        <w:t xml:space="preserve">issues. The employee </w:t>
      </w:r>
      <w:proofErr w:type="spellStart"/>
      <w:r>
        <w:t>can not</w:t>
      </w:r>
      <w:proofErr w:type="spellEnd"/>
      <w:r>
        <w:t xml:space="preserve"> be sued in his individual capacity if the government</w:t>
      </w:r>
      <w:r w:rsidR="003D6D72">
        <w:t xml:space="preserve"> </w:t>
      </w:r>
      <w:r>
        <w:t xml:space="preserve">defends the suit. </w:t>
      </w:r>
    </w:p>
    <w:p w14:paraId="461A4873" w14:textId="77777777" w:rsidR="00D275D5" w:rsidRDefault="00D275D5" w:rsidP="00647C4B">
      <w:pPr>
        <w:pStyle w:val="BodyText"/>
      </w:pPr>
      <w:r>
        <w:t>Counsel must be aware of certain things when advancing a claim under the FTCA.</w:t>
      </w:r>
      <w:r w:rsidR="003D6D72">
        <w:t xml:space="preserve"> </w:t>
      </w:r>
      <w:r>
        <w:t>There is no right to a jury trial in actions brought under the federal statute, even if</w:t>
      </w:r>
      <w:r w:rsidR="003D6D72">
        <w:t xml:space="preserve"> </w:t>
      </w:r>
      <w:r>
        <w:t>one would have existed in a suit against the employee. 28 U.S.C. § 2402. Also, by</w:t>
      </w:r>
      <w:r w:rsidR="003D6D72">
        <w:t xml:space="preserve"> </w:t>
      </w:r>
      <w:r>
        <w:t>forcing the injured party to bring the action against the federal government</w:t>
      </w:r>
      <w:r w:rsidR="003D6D72">
        <w:t xml:space="preserve"> </w:t>
      </w:r>
      <w:r>
        <w:t xml:space="preserve">instead of the individual </w:t>
      </w:r>
      <w:r>
        <w:lastRenderedPageBreak/>
        <w:t>federal employee, the two-year statute of limitations</w:t>
      </w:r>
      <w:r w:rsidR="003D6D72">
        <w:t xml:space="preserve"> </w:t>
      </w:r>
      <w:r>
        <w:t>governing FTCA cases applies regardless of state law. Therefore, the suit may be</w:t>
      </w:r>
      <w:r w:rsidR="003D6D72">
        <w:t xml:space="preserve"> </w:t>
      </w:r>
      <w:r>
        <w:t>barred under the FTCA even if the action would have been timely under the state</w:t>
      </w:r>
      <w:r w:rsidR="003D6D72">
        <w:t xml:space="preserve"> </w:t>
      </w:r>
      <w:r>
        <w:t>law. This result works an injustice when the plaintiff had no reason to believe that</w:t>
      </w:r>
      <w:r w:rsidR="003D6D72">
        <w:t xml:space="preserve"> </w:t>
      </w:r>
      <w:r>
        <w:t>the federal government was involved in the dispute. However, the FTCA’s two- year statute of limitations will also apply to allow a claim which would be time- barred under state law. For example, a claim was allowed against the federal</w:t>
      </w:r>
      <w:r w:rsidR="003D6D72">
        <w:t xml:space="preserve"> </w:t>
      </w:r>
      <w:r>
        <w:t>government even though the claim had expired under Maryland’s one-year statute</w:t>
      </w:r>
      <w:r w:rsidR="003D6D72">
        <w:t xml:space="preserve"> </w:t>
      </w:r>
      <w:r>
        <w:t>of limitations. Maryland v. United States, 165 F.2d 869 (4</w:t>
      </w:r>
      <w:r>
        <w:rPr>
          <w:vertAlign w:val="superscript"/>
        </w:rPr>
        <w:t>th</w:t>
      </w:r>
      <w:r>
        <w:t xml:space="preserve"> Cir. 1947).</w:t>
      </w:r>
    </w:p>
    <w:p w14:paraId="795A44BB" w14:textId="77777777" w:rsidR="00D275D5" w:rsidRDefault="00D275D5" w:rsidP="00647C4B">
      <w:pPr>
        <w:pStyle w:val="BodyText"/>
      </w:pPr>
      <w:r>
        <w:t>Importantly, plaintiffs must first file an administrative claim with the appropriate</w:t>
      </w:r>
      <w:r w:rsidR="003D6D72">
        <w:t xml:space="preserve"> </w:t>
      </w:r>
      <w:r>
        <w:t>agency before bringing a tort suit under the FTCA. This claim must give the</w:t>
      </w:r>
      <w:r w:rsidR="003D6D72">
        <w:t xml:space="preserve"> </w:t>
      </w:r>
      <w:r>
        <w:t>governmental agency enough notice of its nature and basis so that it can begin its</w:t>
      </w:r>
      <w:r w:rsidR="003D6D72">
        <w:t xml:space="preserve"> </w:t>
      </w:r>
      <w:r>
        <w:t>own investigation and evaluation, and it must demand payment for a "sum</w:t>
      </w:r>
      <w:r w:rsidR="003D6D72">
        <w:t xml:space="preserve"> </w:t>
      </w:r>
      <w:r>
        <w:t>certain." The administrative claim must be filed within two years of the injury. 28</w:t>
      </w:r>
      <w:r w:rsidR="003D6D72">
        <w:t xml:space="preserve"> </w:t>
      </w:r>
      <w:r>
        <w:t>U.S.C. § 2401(b). A plaintiff’s failure to first file an administrative claim will result</w:t>
      </w:r>
      <w:r w:rsidR="003D6D72">
        <w:t xml:space="preserve"> </w:t>
      </w:r>
      <w:r>
        <w:t>in the claim being dismissed from the court for lack of subject matter jurisdiction.</w:t>
      </w:r>
      <w:r w:rsidR="003D6D72">
        <w:t xml:space="preserve"> </w:t>
      </w:r>
      <w:r>
        <w:t>Because subject matter jurisdiction cannot be waived, the requirement to first file</w:t>
      </w:r>
      <w:r w:rsidR="003D6D72">
        <w:t xml:space="preserve"> </w:t>
      </w:r>
      <w:r>
        <w:t>with the appropriate agency cannot be waived, Richman v. U.S., 709 F.2d 122 (1st</w:t>
      </w:r>
      <w:r w:rsidR="003D6D72">
        <w:t xml:space="preserve"> </w:t>
      </w:r>
      <w:r>
        <w:t>Cir. 1983); nor can jurisdiction be stipulated. Bush v. U.S., 703 F.2d 491 (11th Cir.</w:t>
      </w:r>
      <w:r w:rsidR="003D6D72">
        <w:t xml:space="preserve"> </w:t>
      </w:r>
      <w:r>
        <w:t xml:space="preserve">1983). </w:t>
      </w:r>
    </w:p>
    <w:p w14:paraId="170BBBCA" w14:textId="77777777" w:rsidR="00D275D5" w:rsidRDefault="00D275D5" w:rsidP="00647C4B">
      <w:pPr>
        <w:pStyle w:val="BodyText"/>
      </w:pPr>
      <w:r>
        <w:t>After the administrative claim is filed, the agency must deny it in writing before a</w:t>
      </w:r>
      <w:r w:rsidR="003D6D72">
        <w:t xml:space="preserve"> </w:t>
      </w:r>
      <w:r>
        <w:t>suit against the United States can be filed in district court. If the agency does not</w:t>
      </w:r>
      <w:r w:rsidR="003D6D72">
        <w:t xml:space="preserve"> </w:t>
      </w:r>
      <w:r>
        <w:t xml:space="preserve">act upon the claim within six months, the claim </w:t>
      </w:r>
      <w:proofErr w:type="gramStart"/>
      <w:r>
        <w:t>is considered to be</w:t>
      </w:r>
      <w:proofErr w:type="gramEnd"/>
      <w:r>
        <w:t xml:space="preserve"> denied and the</w:t>
      </w:r>
      <w:r w:rsidR="003D6D72">
        <w:t xml:space="preserve"> </w:t>
      </w:r>
      <w:r>
        <w:t>plaintiff can then proceed to bring the federal claim in court. 28 U.S.C. § 2675(a).</w:t>
      </w:r>
      <w:r w:rsidR="003D6D72">
        <w:t xml:space="preserve"> </w:t>
      </w:r>
      <w:r>
        <w:t>If the administrative claim is denied outright by the agency or denial is presumed</w:t>
      </w:r>
      <w:r w:rsidR="003D6D72">
        <w:t xml:space="preserve"> </w:t>
      </w:r>
      <w:r>
        <w:t>because of agency inaction for six months, the litigant has</w:t>
      </w:r>
      <w:r>
        <w:rPr>
          <w:b/>
          <w:bCs/>
        </w:rPr>
        <w:t xml:space="preserve"> </w:t>
      </w:r>
      <w:r>
        <w:t>six months to file a tort</w:t>
      </w:r>
      <w:r w:rsidR="003D6D72">
        <w:t xml:space="preserve"> </w:t>
      </w:r>
      <w:r>
        <w:t>claim in federal district court.</w:t>
      </w:r>
      <w:r>
        <w:rPr>
          <w:b/>
          <w:bCs/>
        </w:rPr>
        <w:t xml:space="preserve"> </w:t>
      </w:r>
      <w:r>
        <w:t xml:space="preserve">28 U.S.C. § 2401(b). </w:t>
      </w:r>
    </w:p>
    <w:p w14:paraId="1FA282D2" w14:textId="77777777" w:rsidR="00D275D5" w:rsidRDefault="00D275D5" w:rsidP="00647C4B">
      <w:pPr>
        <w:pStyle w:val="BodyText"/>
      </w:pPr>
      <w:r>
        <w:t>Notice means the claim must be sufficiently specific to make the government</w:t>
      </w:r>
      <w:r w:rsidR="003D6D72">
        <w:t xml:space="preserve"> </w:t>
      </w:r>
      <w:r>
        <w:t>aware of the action so it can prepare to defend itself. Goodman v. U.S</w:t>
      </w:r>
      <w:r>
        <w:rPr>
          <w:i/>
          <w:iCs/>
        </w:rPr>
        <w:t>.</w:t>
      </w:r>
      <w:r>
        <w:t>, 298 F.3d</w:t>
      </w:r>
      <w:r w:rsidR="003D6D72">
        <w:t xml:space="preserve"> </w:t>
      </w:r>
      <w:r>
        <w:t>1048 (9th Cir. 2002) illustrates this requirement. A man filed an administrative</w:t>
      </w:r>
      <w:r w:rsidR="003D6D72">
        <w:t xml:space="preserve"> </w:t>
      </w:r>
      <w:r>
        <w:t>claim against a federal agency for medical malpractice after the death of his wife.</w:t>
      </w:r>
      <w:r w:rsidR="003D6D72">
        <w:t xml:space="preserve"> </w:t>
      </w:r>
      <w:r>
        <w:t>The claim was denied, and one day before the six-month time limit expired, he</w:t>
      </w:r>
      <w:r w:rsidR="003D6D72">
        <w:t xml:space="preserve"> </w:t>
      </w:r>
      <w:r>
        <w:t>filed suit in federal court. Plaintiff later realized that the proper claim for him to</w:t>
      </w:r>
      <w:r w:rsidR="003D6D72">
        <w:t xml:space="preserve"> </w:t>
      </w:r>
      <w:r>
        <w:t>file was a lack of informed consent, not medical malpractice. However, the United</w:t>
      </w:r>
      <w:r w:rsidR="003D6D72">
        <w:t xml:space="preserve"> </w:t>
      </w:r>
      <w:r>
        <w:t>States argued that this claim was time-barred because six months had run since</w:t>
      </w:r>
      <w:r w:rsidR="003D6D72">
        <w:t xml:space="preserve"> </w:t>
      </w:r>
      <w:r>
        <w:t>the claim was denied by the agency, and he should therefore not be allowed to</w:t>
      </w:r>
      <w:r w:rsidR="003D6D72">
        <w:t xml:space="preserve"> </w:t>
      </w:r>
      <w:r>
        <w:t>amend the complaint. The circuit court of appeal decided otherwise, ruling that</w:t>
      </w:r>
      <w:r w:rsidR="003D6D72">
        <w:t xml:space="preserve"> </w:t>
      </w:r>
      <w:r>
        <w:t>the administrative claim alleging medical malpractice was broad enough to put</w:t>
      </w:r>
      <w:r w:rsidR="003D6D72">
        <w:t xml:space="preserve"> </w:t>
      </w:r>
      <w:r>
        <w:t>the government on notice of the claim for failure to obtain the patient's informed</w:t>
      </w:r>
      <w:r w:rsidR="003D6D72">
        <w:t xml:space="preserve"> </w:t>
      </w:r>
      <w:r>
        <w:t>consent for the treatment. The administrative claim is not required to provide</w:t>
      </w:r>
      <w:r w:rsidR="003D6D72">
        <w:t xml:space="preserve"> </w:t>
      </w:r>
      <w:r>
        <w:t>more than the minimal details of the factual predicate for the claim to put the</w:t>
      </w:r>
      <w:r w:rsidR="003D6D72">
        <w:t xml:space="preserve"> </w:t>
      </w:r>
      <w:r>
        <w:t>government on notice. A full preview of the lawsuit reciting every possible theory</w:t>
      </w:r>
      <w:r w:rsidR="003D6D72">
        <w:t xml:space="preserve"> </w:t>
      </w:r>
      <w:r>
        <w:t xml:space="preserve">of recovery is not required. </w:t>
      </w:r>
    </w:p>
    <w:p w14:paraId="388184A3" w14:textId="77777777" w:rsidR="00D275D5" w:rsidRDefault="00D275D5" w:rsidP="004E5893">
      <w:pPr>
        <w:pStyle w:val="MMTopic3"/>
        <w:numPr>
          <w:ilvl w:val="0"/>
          <w:numId w:val="0"/>
        </w:numPr>
        <w:ind w:left="360"/>
        <w:outlineLvl w:val="1"/>
      </w:pPr>
      <w:r>
        <w:t>Damages</w:t>
      </w:r>
    </w:p>
    <w:p w14:paraId="5BCA2C97" w14:textId="77777777" w:rsidR="00D275D5" w:rsidRDefault="00D275D5" w:rsidP="00647C4B">
      <w:pPr>
        <w:pStyle w:val="BodyText"/>
      </w:pPr>
      <w:r>
        <w:t>Compensatory damages are the only remedy recoverable under the FTCA. Fitch v.</w:t>
      </w:r>
      <w:r w:rsidR="003D6D72">
        <w:t xml:space="preserve"> </w:t>
      </w:r>
      <w:r>
        <w:t>U.S., 513 F.2d 1013 (6</w:t>
      </w:r>
      <w:r>
        <w:rPr>
          <w:vertAlign w:val="superscript"/>
        </w:rPr>
        <w:t>th</w:t>
      </w:r>
      <w:r>
        <w:t xml:space="preserve"> Cir. 1975). The FTCA does not allow courts to issue</w:t>
      </w:r>
      <w:r w:rsidR="003D6D72">
        <w:t xml:space="preserve"> </w:t>
      </w:r>
      <w:r>
        <w:t xml:space="preserve">injunctions </w:t>
      </w:r>
      <w:r>
        <w:lastRenderedPageBreak/>
        <w:t xml:space="preserve">against the federal government. Moon v. </w:t>
      </w:r>
      <w:proofErr w:type="spellStart"/>
      <w:r>
        <w:t>Takisaki</w:t>
      </w:r>
      <w:proofErr w:type="spellEnd"/>
      <w:r>
        <w:t>, 501 F.2d 389 (9</w:t>
      </w:r>
      <w:r>
        <w:rPr>
          <w:vertAlign w:val="superscript"/>
        </w:rPr>
        <w:t>th</w:t>
      </w:r>
      <w:r>
        <w:t xml:space="preserve"> Cir.</w:t>
      </w:r>
      <w:r w:rsidR="003D6D72">
        <w:t xml:space="preserve"> </w:t>
      </w:r>
      <w:r>
        <w:t>1974). Punitive damages are expressly forbidden, even if they are allowed under</w:t>
      </w:r>
      <w:r w:rsidR="003D6D72">
        <w:t xml:space="preserve"> </w:t>
      </w:r>
      <w:r>
        <w:t xml:space="preserve">state law. 28 U.S.C. § 2674. </w:t>
      </w:r>
    </w:p>
    <w:p w14:paraId="761D92B7" w14:textId="77777777" w:rsidR="00D275D5" w:rsidRDefault="00D275D5" w:rsidP="00647C4B">
      <w:pPr>
        <w:pStyle w:val="BodyText"/>
      </w:pPr>
      <w:r>
        <w:t>Sovereign immunity bars an award of attorney fees against the federal government</w:t>
      </w:r>
      <w:r w:rsidR="003D6D72">
        <w:t xml:space="preserve"> </w:t>
      </w:r>
      <w:r>
        <w:t>unless expressly authorized by statute. Since the FTCA does not expressly authorize</w:t>
      </w:r>
      <w:r w:rsidR="003D6D72">
        <w:t xml:space="preserve"> </w:t>
      </w:r>
      <w:r>
        <w:t>attorney fees, they are not recoverable against the federal government under the</w:t>
      </w:r>
      <w:r w:rsidR="003D6D72">
        <w:t xml:space="preserve"> </w:t>
      </w:r>
      <w:r>
        <w:t>FTCA. Joe v. U.S., 772 F.2d 1535 (11</w:t>
      </w:r>
      <w:r>
        <w:rPr>
          <w:vertAlign w:val="superscript"/>
        </w:rPr>
        <w:t>th</w:t>
      </w:r>
      <w:r>
        <w:t xml:space="preserve"> Cir. 1985). Because no separate award of</w:t>
      </w:r>
      <w:r w:rsidR="003D6D72">
        <w:t xml:space="preserve"> </w:t>
      </w:r>
      <w:r>
        <w:t>attorney fees may be awarded against the federal government, counsel will take</w:t>
      </w:r>
      <w:r w:rsidR="003D6D72">
        <w:t xml:space="preserve"> </w:t>
      </w:r>
      <w:r>
        <w:t>payment from the awarded compensatory damages. However, the FTCA limits the</w:t>
      </w:r>
      <w:r w:rsidR="003D6D72">
        <w:t xml:space="preserve"> </w:t>
      </w:r>
      <w:r>
        <w:t>amount which may be claimed by counsel from the compensatory damages award.</w:t>
      </w:r>
      <w:r w:rsidR="003D6D72">
        <w:t xml:space="preserve"> </w:t>
      </w:r>
      <w:r>
        <w:t>No attorney may receive more than 25% of any compensatory damages or</w:t>
      </w:r>
      <w:r w:rsidR="003D6D72">
        <w:t xml:space="preserve"> </w:t>
      </w:r>
      <w:r>
        <w:t xml:space="preserve">settlement. 28 U.S.C. § 2678. </w:t>
      </w:r>
    </w:p>
    <w:p w14:paraId="67926BF7" w14:textId="77777777" w:rsidR="00D275D5" w:rsidRDefault="00D275D5" w:rsidP="00647C4B">
      <w:pPr>
        <w:pStyle w:val="BodyText"/>
      </w:pPr>
      <w:r>
        <w:t>The FTCA itself does not place a cap on the amount of damages recoverable</w:t>
      </w:r>
      <w:r w:rsidR="003D6D72">
        <w:t xml:space="preserve"> </w:t>
      </w:r>
      <w:r>
        <w:t>against the federal government. However, the government’s liability is limited in the</w:t>
      </w:r>
      <w:r w:rsidR="003D6D72">
        <w:t xml:space="preserve"> </w:t>
      </w:r>
      <w:r>
        <w:t>same way that a private party would be limited under the relevant state law.</w:t>
      </w:r>
      <w:r w:rsidR="003D6D72">
        <w:t xml:space="preserve"> </w:t>
      </w:r>
      <w:r>
        <w:t xml:space="preserve">Therefore, the United States </w:t>
      </w:r>
      <w:proofErr w:type="gramStart"/>
      <w:r>
        <w:t>is able to</w:t>
      </w:r>
      <w:proofErr w:type="gramEnd"/>
      <w:r>
        <w:t xml:space="preserve"> take advantage of any state damage caps on</w:t>
      </w:r>
      <w:r w:rsidR="003D6D72">
        <w:t xml:space="preserve"> </w:t>
      </w:r>
      <w:r>
        <w:t>awards for medical malpractice. Carter v. U.S., 982 F.2d 1141 (7</w:t>
      </w:r>
      <w:r>
        <w:rPr>
          <w:vertAlign w:val="superscript"/>
        </w:rPr>
        <w:t>th</w:t>
      </w:r>
      <w:r>
        <w:t xml:space="preserve"> Cir. 1992). </w:t>
      </w:r>
    </w:p>
    <w:p w14:paraId="7744DBBD" w14:textId="77777777" w:rsidR="00D275D5" w:rsidRDefault="00D275D5" w:rsidP="004E5893">
      <w:pPr>
        <w:pStyle w:val="MMTopic3"/>
        <w:numPr>
          <w:ilvl w:val="0"/>
          <w:numId w:val="0"/>
        </w:numPr>
        <w:ind w:left="360"/>
        <w:outlineLvl w:val="1"/>
      </w:pPr>
      <w:r>
        <w:t>Exceptions to the FTCA</w:t>
      </w:r>
    </w:p>
    <w:p w14:paraId="27AEC8EA" w14:textId="77777777" w:rsidR="00D275D5" w:rsidRDefault="00D275D5" w:rsidP="00647C4B">
      <w:pPr>
        <w:pStyle w:val="BodyText"/>
      </w:pPr>
      <w:r>
        <w:t>The FTCA does not waive immunity for all torts: major exceptions are carved out in</w:t>
      </w:r>
      <w:r w:rsidR="003D6D72">
        <w:t xml:space="preserve"> </w:t>
      </w:r>
      <w:hyperlink r:id="rId7" w:tgtFrame="_blank" w:history="1">
        <w:r>
          <w:rPr>
            <w:color w:val="0000FF"/>
            <w:u w:val="single"/>
          </w:rPr>
          <w:t>28 U.S.C. § 2680</w:t>
        </w:r>
      </w:hyperlink>
      <w:r>
        <w:t>. These exceptions stipulate that the federal government will not be</w:t>
      </w:r>
      <w:r w:rsidR="003D6D72">
        <w:t xml:space="preserve"> </w:t>
      </w:r>
      <w:r>
        <w:t>held liable for the claims against its employees arising out of assault, battery, false</w:t>
      </w:r>
      <w:r w:rsidR="003D6D72">
        <w:t xml:space="preserve"> </w:t>
      </w:r>
      <w:r>
        <w:t>imprisonment, false arrest, malicious prosecution, abuse of process, libel, slander,</w:t>
      </w:r>
      <w:r w:rsidR="003D6D72">
        <w:t xml:space="preserve"> </w:t>
      </w:r>
      <w:r>
        <w:t>misrepresentation, deceit, or interference with contract rights. Also not allowed are</w:t>
      </w:r>
      <w:r w:rsidR="003D6D72">
        <w:t xml:space="preserve"> </w:t>
      </w:r>
      <w:r>
        <w:t>damages from a quarantine imposed by the federal government. Claims based on</w:t>
      </w:r>
      <w:r w:rsidR="003D6D72">
        <w:t xml:space="preserve"> </w:t>
      </w:r>
      <w:r>
        <w:t xml:space="preserve">intentional actions that are excluded from the FTCA may be brought as </w:t>
      </w:r>
      <w:r>
        <w:rPr>
          <w:i/>
          <w:iCs/>
        </w:rPr>
        <w:t>Bivens</w:t>
      </w:r>
      <w:r w:rsidR="003D6D72">
        <w:t xml:space="preserve"> </w:t>
      </w:r>
      <w:r>
        <w:t>actions, if they rise to the level of constitutional violations (constitutional torts).</w:t>
      </w:r>
    </w:p>
    <w:p w14:paraId="7E350E8A" w14:textId="77777777" w:rsidR="00D275D5" w:rsidRDefault="00D275D5" w:rsidP="00647C4B">
      <w:pPr>
        <w:pStyle w:val="BodyText"/>
      </w:pPr>
      <w:r>
        <w:t xml:space="preserve">Perhaps most significantly, § 2680(a) precludes recovery from the government for: </w:t>
      </w:r>
    </w:p>
    <w:p w14:paraId="547BCD53" w14:textId="77777777" w:rsidR="00D275D5" w:rsidRDefault="00D275D5" w:rsidP="001E32AD">
      <w:pPr>
        <w:pStyle w:val="BodyText"/>
        <w:ind w:left="720"/>
      </w:pPr>
      <w:r>
        <w:t>"[A]</w:t>
      </w:r>
      <w:proofErr w:type="spellStart"/>
      <w:r>
        <w:t>ny</w:t>
      </w:r>
      <w:proofErr w:type="spellEnd"/>
      <w:r>
        <w:t xml:space="preserve"> claim based upon an act or omission of an employee of the</w:t>
      </w:r>
      <w:r w:rsidR="003D6D72">
        <w:t xml:space="preserve"> </w:t>
      </w:r>
      <w:r>
        <w:t>Government, exercising due care, in the execution of a statute or regulation,</w:t>
      </w:r>
      <w:r w:rsidR="003D6D72">
        <w:t xml:space="preserve"> </w:t>
      </w:r>
      <w:r>
        <w:t>whether or not such statute or regulation be valid, or based upon the exercise</w:t>
      </w:r>
      <w:r w:rsidR="003D6D72">
        <w:t xml:space="preserve"> </w:t>
      </w:r>
      <w:r>
        <w:t>or performance or the failure to exercise or perform a discretionary function</w:t>
      </w:r>
      <w:r w:rsidR="003D6D72">
        <w:t xml:space="preserve"> </w:t>
      </w:r>
      <w:r>
        <w:t>or duty on the part of a federal agency or an employee of the Government,</w:t>
      </w:r>
      <w:r w:rsidR="003D6D72">
        <w:t xml:space="preserve"> </w:t>
      </w:r>
      <w:r>
        <w:t xml:space="preserve">whether or not the discretion involved be abused." </w:t>
      </w:r>
    </w:p>
    <w:p w14:paraId="2C80D979" w14:textId="77777777" w:rsidR="00D275D5" w:rsidRDefault="00D275D5" w:rsidP="00647C4B">
      <w:pPr>
        <w:pStyle w:val="BodyText"/>
      </w:pPr>
      <w:r>
        <w:t xml:space="preserve">This is the </w:t>
      </w:r>
      <w:proofErr w:type="gramStart"/>
      <w:r>
        <w:t>discretionary-function</w:t>
      </w:r>
      <w:proofErr w:type="gramEnd"/>
      <w:r>
        <w:t xml:space="preserve"> exception, and is discussed more fully below. </w:t>
      </w:r>
    </w:p>
    <w:p w14:paraId="6623B525" w14:textId="77777777" w:rsidR="00D275D5" w:rsidRDefault="00D275D5" w:rsidP="004E5893">
      <w:pPr>
        <w:pStyle w:val="MMTopic4"/>
        <w:numPr>
          <w:ilvl w:val="0"/>
          <w:numId w:val="0"/>
        </w:numPr>
        <w:ind w:left="540"/>
        <w:outlineLvl w:val="2"/>
      </w:pPr>
      <w:r>
        <w:t xml:space="preserve">Discretionary </w:t>
      </w:r>
      <w:r w:rsidR="00FE11B9">
        <w:t>Function Defense</w:t>
      </w:r>
    </w:p>
    <w:p w14:paraId="02E94382" w14:textId="126F1188" w:rsidR="00D275D5" w:rsidRDefault="00D275D5" w:rsidP="00647C4B">
      <w:pPr>
        <w:pStyle w:val="BodyText"/>
      </w:pPr>
      <w:r>
        <w:t>The FTCA (and most state tort claims acts) preserve immunity from tort liability for</w:t>
      </w:r>
      <w:r w:rsidR="003D6D72">
        <w:t xml:space="preserve"> </w:t>
      </w:r>
      <w:r>
        <w:t>the discretionary acts of government employees. This discretionary function</w:t>
      </w:r>
      <w:r w:rsidR="003D6D72">
        <w:t xml:space="preserve"> </w:t>
      </w:r>
      <w:r>
        <w:t xml:space="preserve">exception is perhaps the most notable and complex exception to FTCA liability. </w:t>
      </w:r>
    </w:p>
    <w:p w14:paraId="37C7ECCB" w14:textId="77777777" w:rsidR="009D3936" w:rsidRDefault="009D3936" w:rsidP="009D3936">
      <w:pPr>
        <w:pStyle w:val="BodyText"/>
      </w:pPr>
      <w:r>
        <w:t xml:space="preserve">§ 2680(a) precludes recovery from the government for: </w:t>
      </w:r>
    </w:p>
    <w:p w14:paraId="0BD40A21" w14:textId="77777777" w:rsidR="009D3936" w:rsidRDefault="009D3936" w:rsidP="009D3936">
      <w:pPr>
        <w:pStyle w:val="BodyText"/>
        <w:ind w:left="720"/>
      </w:pPr>
      <w:r>
        <w:lastRenderedPageBreak/>
        <w:t>"[A]</w:t>
      </w:r>
      <w:proofErr w:type="spellStart"/>
      <w:r>
        <w:t>ny</w:t>
      </w:r>
      <w:proofErr w:type="spellEnd"/>
      <w:r>
        <w:t xml:space="preserve"> claim based upon an act or omission of an employee of the Government, exercising due care, in the execution of a statute or regulation, whether or not such statute or regulation be valid, or based upon the exercise or performance or the failure to exercise or perform a discretionary function or duty on the part of a federal agency or an employee of the Government, whether or not the discretion involved be abused." </w:t>
      </w:r>
    </w:p>
    <w:p w14:paraId="49CF7764" w14:textId="77777777" w:rsidR="00D275D5" w:rsidRDefault="00D275D5" w:rsidP="00647C4B">
      <w:pPr>
        <w:pStyle w:val="BodyText"/>
      </w:pPr>
      <w:r>
        <w:t>A discretionary function is an act involving an exercise of personal judgment. The</w:t>
      </w:r>
      <w:r w:rsidR="003D6D72">
        <w:t xml:space="preserve"> </w:t>
      </w:r>
      <w:r>
        <w:t>basis for the discretionary function exception to the FTCA is the legislative branch's</w:t>
      </w:r>
      <w:r w:rsidR="003D6D72">
        <w:t xml:space="preserve"> </w:t>
      </w:r>
      <w:r>
        <w:t>desire to prevent judicial second-guessing through tort actions of legislative and</w:t>
      </w:r>
      <w:r w:rsidR="003D6D72">
        <w:t xml:space="preserve"> </w:t>
      </w:r>
      <w:r>
        <w:t>administrative decisions grounded in social, economic, and political policy. The</w:t>
      </w:r>
      <w:r w:rsidR="003D6D72">
        <w:t xml:space="preserve"> </w:t>
      </w:r>
      <w:r>
        <w:t>federal government retains immunity from tort liability for itself and its employees</w:t>
      </w:r>
      <w:r w:rsidR="003D6D72">
        <w:t xml:space="preserve"> </w:t>
      </w:r>
      <w:r>
        <w:t>for the performance or nonperformance of discretionary functions. This immunity is</w:t>
      </w:r>
      <w:r w:rsidR="003D6D72">
        <w:t xml:space="preserve"> </w:t>
      </w:r>
      <w:r>
        <w:t>granted when the act in question requires the exercise of judgment in carrying out</w:t>
      </w:r>
      <w:r w:rsidR="003D6D72">
        <w:t xml:space="preserve"> </w:t>
      </w:r>
      <w:r>
        <w:t>official duties. Discretionary immunity applies unless a plaintiff can show that a</w:t>
      </w:r>
      <w:r w:rsidR="003D6D72">
        <w:t xml:space="preserve"> </w:t>
      </w:r>
      <w:r>
        <w:t>reasonable person in the official's position would have known that the action was</w:t>
      </w:r>
      <w:r w:rsidR="003D6D72">
        <w:t xml:space="preserve"> </w:t>
      </w:r>
      <w:r>
        <w:t xml:space="preserve">illegal or beyond the scope of that official's legal authority. </w:t>
      </w:r>
      <w:hyperlink r:id="rId8" w:history="1">
        <w:r>
          <w:rPr>
            <w:color w:val="0033FF"/>
            <w:u w:val="single"/>
          </w:rPr>
          <w:t>Harlow v. Fitzgerald, 457</w:t>
        </w:r>
        <w:r w:rsidR="003D6D72">
          <w:rPr>
            <w:color w:val="0033FF"/>
            <w:u w:val="single"/>
          </w:rPr>
          <w:t xml:space="preserve"> </w:t>
        </w:r>
        <w:r>
          <w:rPr>
            <w:color w:val="0033FF"/>
            <w:u w:val="single"/>
          </w:rPr>
          <w:t>U.S. 800 (1982)</w:t>
        </w:r>
      </w:hyperlink>
      <w:r>
        <w:t xml:space="preserve">. </w:t>
      </w:r>
    </w:p>
    <w:p w14:paraId="372414C4" w14:textId="77777777" w:rsidR="00D275D5" w:rsidRDefault="00DB00ED" w:rsidP="00647C4B">
      <w:pPr>
        <w:pStyle w:val="BodyText"/>
      </w:pPr>
      <w:hyperlink r:id="rId9" w:history="1">
        <w:r w:rsidR="00D275D5">
          <w:rPr>
            <w:color w:val="0033FF"/>
            <w:u w:val="single"/>
          </w:rPr>
          <w:t xml:space="preserve">U.S. v. </w:t>
        </w:r>
        <w:proofErr w:type="spellStart"/>
        <w:r w:rsidR="00D275D5">
          <w:rPr>
            <w:color w:val="0033FF"/>
            <w:u w:val="single"/>
          </w:rPr>
          <w:t>Varig</w:t>
        </w:r>
        <w:proofErr w:type="spellEnd"/>
        <w:r w:rsidR="00D275D5">
          <w:rPr>
            <w:color w:val="0033FF"/>
            <w:u w:val="single"/>
          </w:rPr>
          <w:t xml:space="preserve"> Airlines, 467 U.S. 797 (1984)</w:t>
        </w:r>
      </w:hyperlink>
      <w:r w:rsidR="00D275D5">
        <w:t xml:space="preserve"> is a major case concerning the</w:t>
      </w:r>
      <w:r w:rsidR="003D6D72">
        <w:t xml:space="preserve"> </w:t>
      </w:r>
      <w:r w:rsidR="00D275D5">
        <w:t>discretionary function. Here, the federal government was not held liable in a</w:t>
      </w:r>
      <w:r w:rsidR="003D6D72">
        <w:t xml:space="preserve"> </w:t>
      </w:r>
      <w:r w:rsidR="00D275D5">
        <w:t>negligence action. A plane caught fire in midair and although it landed safely, many</w:t>
      </w:r>
      <w:r w:rsidR="003D6D72">
        <w:t xml:space="preserve"> </w:t>
      </w:r>
      <w:r w:rsidR="00D275D5">
        <w:t xml:space="preserve">on board died from asphyxiation. The airline and survivors </w:t>
      </w:r>
      <w:proofErr w:type="gramStart"/>
      <w:r w:rsidR="00D275D5">
        <w:t>brought suit against</w:t>
      </w:r>
      <w:proofErr w:type="gramEnd"/>
      <w:r w:rsidR="00D275D5">
        <w:t xml:space="preserve"> the</w:t>
      </w:r>
      <w:r w:rsidR="003D6D72">
        <w:t xml:space="preserve"> </w:t>
      </w:r>
      <w:r w:rsidR="00D275D5">
        <w:t>federal government for negligently certifying that the airplane met the applicable</w:t>
      </w:r>
      <w:r w:rsidR="003D6D72">
        <w:t xml:space="preserve"> </w:t>
      </w:r>
      <w:r w:rsidR="00D275D5">
        <w:t>federal safety standards based upon a spot-check which did not include every aspect</w:t>
      </w:r>
      <w:r w:rsidR="003D6D72">
        <w:t xml:space="preserve"> </w:t>
      </w:r>
      <w:r w:rsidR="00D275D5">
        <w:t>of safety. The Supreme Court held that the inspection was discretionary, and the</w:t>
      </w:r>
      <w:r w:rsidR="003D6D72">
        <w:t xml:space="preserve"> </w:t>
      </w:r>
      <w:r w:rsidR="00D275D5">
        <w:t>government was therefore not liable. The Court did not want to involve itself with</w:t>
      </w:r>
      <w:r w:rsidR="003D6D72">
        <w:t xml:space="preserve"> </w:t>
      </w:r>
      <w:r w:rsidR="00D275D5">
        <w:t>policy and the distribution of limited resources, which is how it viewed the safety</w:t>
      </w:r>
      <w:r w:rsidR="003D6D72">
        <w:t xml:space="preserve"> </w:t>
      </w:r>
      <w:r w:rsidR="00D275D5">
        <w:t>inspection policy of only checking certain aspects of the plane for safety.</w:t>
      </w:r>
    </w:p>
    <w:p w14:paraId="7E3D8116" w14:textId="77777777" w:rsidR="00D275D5" w:rsidRDefault="00D275D5" w:rsidP="004E5893">
      <w:pPr>
        <w:pStyle w:val="MMTopic4"/>
        <w:numPr>
          <w:ilvl w:val="0"/>
          <w:numId w:val="0"/>
        </w:numPr>
        <w:ind w:left="540"/>
        <w:outlineLvl w:val="2"/>
      </w:pPr>
      <w:r>
        <w:t>Ministerial Tasks</w:t>
      </w:r>
    </w:p>
    <w:p w14:paraId="188E19B0" w14:textId="77777777" w:rsidR="00D275D5" w:rsidRDefault="00D275D5" w:rsidP="00647C4B">
      <w:pPr>
        <w:pStyle w:val="BodyText"/>
      </w:pPr>
      <w:r>
        <w:t>Immunity from tort liability does not apply if the action was mandated by law or</w:t>
      </w:r>
      <w:r w:rsidR="003D6D72">
        <w:t xml:space="preserve"> </w:t>
      </w:r>
      <w:r>
        <w:t>regulation. These acts are not discretionary in nature, but ministerial. Ministerial</w:t>
      </w:r>
      <w:r w:rsidR="003D6D72">
        <w:t xml:space="preserve"> </w:t>
      </w:r>
      <w:r>
        <w:t>tasks are those that do not require an official's discretion because they either</w:t>
      </w:r>
      <w:r w:rsidR="003D6D72">
        <w:t xml:space="preserve"> </w:t>
      </w:r>
      <w:r>
        <w:t>follow a predetermined plan and cannot be changed, such as following a health</w:t>
      </w:r>
      <w:r w:rsidR="003D6D72">
        <w:t xml:space="preserve"> </w:t>
      </w:r>
      <w:r>
        <w:t>department checklist regulation, or they do not involve any special expertise, such</w:t>
      </w:r>
      <w:r w:rsidR="003D6D72">
        <w:t xml:space="preserve"> </w:t>
      </w:r>
      <w:r>
        <w:t>as driving a car. If a law or a regulation dictates a government employee’s course</w:t>
      </w:r>
      <w:r w:rsidR="003D6D72">
        <w:t xml:space="preserve"> </w:t>
      </w:r>
      <w:r>
        <w:t>of action, that employee will be subject to l</w:t>
      </w:r>
      <w:r w:rsidR="007E189D">
        <w:t>iability for failure to comply.</w:t>
      </w:r>
    </w:p>
    <w:p w14:paraId="1E7C2F9C" w14:textId="77777777" w:rsidR="00D275D5" w:rsidRDefault="00DB00ED" w:rsidP="00647C4B">
      <w:pPr>
        <w:pStyle w:val="BodyText"/>
      </w:pPr>
      <w:hyperlink r:id="rId10" w:history="1">
        <w:proofErr w:type="spellStart"/>
        <w:r w:rsidR="00D275D5">
          <w:rPr>
            <w:color w:val="0033FF"/>
            <w:u w:val="single"/>
          </w:rPr>
          <w:t>Berkovitz</w:t>
        </w:r>
        <w:proofErr w:type="spellEnd"/>
        <w:r w:rsidR="00D275D5">
          <w:rPr>
            <w:color w:val="0033FF"/>
            <w:u w:val="single"/>
          </w:rPr>
          <w:t xml:space="preserve"> v. U.S., 486 U.S. 531 (1988)</w:t>
        </w:r>
      </w:hyperlink>
      <w:r w:rsidR="00D275D5">
        <w:t xml:space="preserve"> is an important case on the discretionary</w:t>
      </w:r>
      <w:r w:rsidR="003D6D72">
        <w:t xml:space="preserve"> </w:t>
      </w:r>
      <w:r w:rsidR="00D275D5">
        <w:t xml:space="preserve">function applied to the FTCA, and contrasts with </w:t>
      </w:r>
      <w:proofErr w:type="spellStart"/>
      <w:r w:rsidR="00D275D5">
        <w:rPr>
          <w:i/>
          <w:iCs/>
        </w:rPr>
        <w:t>Varig</w:t>
      </w:r>
      <w:proofErr w:type="spellEnd"/>
      <w:r w:rsidR="00D275D5">
        <w:t>. There, a polio vaccine</w:t>
      </w:r>
      <w:r w:rsidR="003D6D72">
        <w:t xml:space="preserve"> </w:t>
      </w:r>
      <w:r w:rsidR="00D275D5">
        <w:t>taken by plaintiff's infant son resulted in the child contracting the disease and</w:t>
      </w:r>
      <w:r w:rsidR="003D6D72">
        <w:t xml:space="preserve"> </w:t>
      </w:r>
      <w:r w:rsidR="00D275D5">
        <w:t>becoming paralyzed as a result. A unanimous Supreme Court allowed the plaintiffs</w:t>
      </w:r>
      <w:r w:rsidR="003D6D72">
        <w:t xml:space="preserve"> </w:t>
      </w:r>
      <w:r w:rsidR="00D275D5">
        <w:t>to recover under the FTCA when the federal government failed to follow its own</w:t>
      </w:r>
      <w:r w:rsidR="003D6D72">
        <w:t xml:space="preserve"> </w:t>
      </w:r>
      <w:r w:rsidR="00D275D5">
        <w:t>regulations for approving the polio vaccine. The determination of how to test the</w:t>
      </w:r>
      <w:r w:rsidR="003D6D72">
        <w:t xml:space="preserve"> </w:t>
      </w:r>
      <w:r w:rsidR="00D275D5">
        <w:t>polio vaccine was a discretionary function because it involved an element of</w:t>
      </w:r>
      <w:r w:rsidR="003D6D72">
        <w:t xml:space="preserve"> </w:t>
      </w:r>
      <w:r w:rsidR="00D275D5">
        <w:t>choice or judgment on the employee's part. For this, the government could not be</w:t>
      </w:r>
      <w:r w:rsidR="003D6D72">
        <w:t xml:space="preserve"> </w:t>
      </w:r>
      <w:r w:rsidR="00D275D5">
        <w:t xml:space="preserve">held liable under the FTCA. Once a regulation was made on </w:t>
      </w:r>
      <w:r w:rsidR="00D275D5">
        <w:lastRenderedPageBreak/>
        <w:t>how to test the</w:t>
      </w:r>
      <w:r w:rsidR="003D6D72">
        <w:t xml:space="preserve"> </w:t>
      </w:r>
      <w:r w:rsidR="00D275D5">
        <w:t>vaccine, employee discretion was taken away and the function became</w:t>
      </w:r>
      <w:r w:rsidR="003D6D72">
        <w:t xml:space="preserve"> </w:t>
      </w:r>
      <w:r w:rsidR="00D275D5">
        <w:t>ministerial. Therefore, immunity did not apply because the government has a duty</w:t>
      </w:r>
      <w:r w:rsidR="003D6D72">
        <w:t xml:space="preserve"> </w:t>
      </w:r>
      <w:r w:rsidR="00D275D5">
        <w:t xml:space="preserve">to follow its own regulations. </w:t>
      </w:r>
    </w:p>
    <w:p w14:paraId="1D3B2FC4" w14:textId="77777777" w:rsidR="00D275D5" w:rsidRDefault="00D275D5" w:rsidP="00647C4B">
      <w:pPr>
        <w:pStyle w:val="BodyText"/>
      </w:pPr>
      <w:r>
        <w:t>Because the discretionary exception is meant to shield the government from</w:t>
      </w:r>
      <w:r w:rsidR="003D6D72">
        <w:t xml:space="preserve"> </w:t>
      </w:r>
      <w:r>
        <w:t>liability for actions that require judgment according to public policy, the</w:t>
      </w:r>
      <w:r w:rsidR="003D6D72">
        <w:t xml:space="preserve"> </w:t>
      </w:r>
      <w:r>
        <w:t xml:space="preserve">government was not liable in </w:t>
      </w:r>
      <w:proofErr w:type="spellStart"/>
      <w:r>
        <w:rPr>
          <w:i/>
          <w:iCs/>
        </w:rPr>
        <w:t>Varig</w:t>
      </w:r>
      <w:proofErr w:type="spellEnd"/>
      <w:r>
        <w:t xml:space="preserve"> but liable in </w:t>
      </w:r>
      <w:proofErr w:type="spellStart"/>
      <w:r>
        <w:rPr>
          <w:i/>
          <w:iCs/>
        </w:rPr>
        <w:t>Berkovitz</w:t>
      </w:r>
      <w:proofErr w:type="spellEnd"/>
      <w:r>
        <w:t>. The regulatory scheme</w:t>
      </w:r>
      <w:r w:rsidR="003D6D72">
        <w:t xml:space="preserve"> </w:t>
      </w:r>
      <w:r>
        <w:t xml:space="preserve">in </w:t>
      </w:r>
      <w:proofErr w:type="spellStart"/>
      <w:r>
        <w:rPr>
          <w:i/>
          <w:iCs/>
        </w:rPr>
        <w:t>Varig</w:t>
      </w:r>
      <w:proofErr w:type="spellEnd"/>
      <w:r>
        <w:t xml:space="preserve"> gave the agency broad powers to inspect aircraft in a manner it deemed</w:t>
      </w:r>
      <w:r w:rsidR="003D6D72">
        <w:t xml:space="preserve"> </w:t>
      </w:r>
      <w:r>
        <w:t xml:space="preserve">best with the resources the agency possessed. The employee in </w:t>
      </w:r>
      <w:proofErr w:type="spellStart"/>
      <w:r>
        <w:rPr>
          <w:i/>
          <w:iCs/>
        </w:rPr>
        <w:t>Berkovitz</w:t>
      </w:r>
      <w:proofErr w:type="spellEnd"/>
      <w:r>
        <w:t>,</w:t>
      </w:r>
      <w:r w:rsidR="003D6D72">
        <w:t xml:space="preserve"> </w:t>
      </w:r>
      <w:r>
        <w:t xml:space="preserve">however, had no discretion to approve a bad batch of polio vaccine. </w:t>
      </w:r>
    </w:p>
    <w:p w14:paraId="2684B6AA" w14:textId="77777777" w:rsidR="00D275D5" w:rsidRDefault="00D275D5" w:rsidP="004E5893">
      <w:pPr>
        <w:pStyle w:val="MMTopic4"/>
        <w:numPr>
          <w:ilvl w:val="0"/>
          <w:numId w:val="0"/>
        </w:numPr>
        <w:ind w:left="540"/>
        <w:outlineLvl w:val="1"/>
      </w:pPr>
      <w:r>
        <w:t>Intentional Torts under FTCA</w:t>
      </w:r>
    </w:p>
    <w:p w14:paraId="4C606529" w14:textId="77777777" w:rsidR="00D275D5" w:rsidRDefault="00D275D5" w:rsidP="00647C4B">
      <w:pPr>
        <w:pStyle w:val="BodyText"/>
      </w:pPr>
      <w:r>
        <w:t>The intentional torts of assault, battery, false imprisonment, false arrest, malicious</w:t>
      </w:r>
      <w:r w:rsidR="003D6D72">
        <w:t xml:space="preserve"> </w:t>
      </w:r>
      <w:r>
        <w:t>prosecution, abuse of process, libel, slander, misrepresentation, deceit, or</w:t>
      </w:r>
      <w:r w:rsidR="003D6D72">
        <w:t xml:space="preserve"> </w:t>
      </w:r>
      <w:r>
        <w:t>interference with contract rights. 28 U.S.C. § 2680(h). Of these, the assault and</w:t>
      </w:r>
      <w:r w:rsidR="003D6D72">
        <w:t xml:space="preserve"> </w:t>
      </w:r>
      <w:r>
        <w:t xml:space="preserve">battery exemption </w:t>
      </w:r>
      <w:proofErr w:type="gramStart"/>
      <w:r>
        <w:t>is</w:t>
      </w:r>
      <w:proofErr w:type="gramEnd"/>
      <w:r>
        <w:t xml:space="preserve"> of particular importance because the government can often</w:t>
      </w:r>
      <w:r w:rsidR="003D6D72">
        <w:t xml:space="preserve"> </w:t>
      </w:r>
      <w:r>
        <w:t>successfully assert this exemption in medical claims where the alleged malpractice</w:t>
      </w:r>
      <w:r w:rsidR="003D6D72">
        <w:t xml:space="preserve"> </w:t>
      </w:r>
      <w:r>
        <w:t xml:space="preserve">can be defined as a battery or assault. </w:t>
      </w:r>
    </w:p>
    <w:p w14:paraId="2915A1B9" w14:textId="77777777" w:rsidR="00D275D5" w:rsidRDefault="00D275D5" w:rsidP="004E5893">
      <w:pPr>
        <w:pStyle w:val="MMTopic5"/>
        <w:numPr>
          <w:ilvl w:val="0"/>
          <w:numId w:val="0"/>
        </w:numPr>
        <w:ind w:left="720"/>
        <w:outlineLvl w:val="2"/>
      </w:pPr>
      <w:r>
        <w:t>Assault and Battery</w:t>
      </w:r>
    </w:p>
    <w:p w14:paraId="3DEA0927" w14:textId="77777777" w:rsidR="00D275D5" w:rsidRDefault="00D275D5" w:rsidP="00647C4B">
      <w:pPr>
        <w:pStyle w:val="BodyText"/>
      </w:pPr>
      <w:r>
        <w:t>This exception to the FTCA was applied in a case where the plaintiff alleged deviant</w:t>
      </w:r>
      <w:r w:rsidR="003D6D72">
        <w:t xml:space="preserve"> </w:t>
      </w:r>
      <w:r>
        <w:t>sexual conduct by an Air Force clinical social worker who was treating the plaintiff for</w:t>
      </w:r>
      <w:r w:rsidR="003D6D72">
        <w:t xml:space="preserve"> </w:t>
      </w:r>
      <w:r>
        <w:t>"blackouts". The court dismissed the claim by determining that the sexual</w:t>
      </w:r>
      <w:r w:rsidR="003D6D72">
        <w:t xml:space="preserve"> </w:t>
      </w:r>
      <w:r>
        <w:t>misconduct constituted assault and sovereign immunity was therefore not waived.</w:t>
      </w:r>
      <w:r w:rsidR="003D6D72">
        <w:t xml:space="preserve"> </w:t>
      </w:r>
      <w:r>
        <w:t>Doe v. U.S., 769 F.2d 174 (4th Cir. 1985).</w:t>
      </w:r>
    </w:p>
    <w:p w14:paraId="566DF9EE" w14:textId="77777777" w:rsidR="00D275D5" w:rsidRDefault="00D275D5" w:rsidP="00647C4B">
      <w:pPr>
        <w:pStyle w:val="BodyText"/>
      </w:pPr>
      <w:r>
        <w:t>In a Fifth Circuit case, a Naval recruit who alleged that she had contracted a</w:t>
      </w:r>
      <w:r w:rsidR="003D6D72">
        <w:t xml:space="preserve"> </w:t>
      </w:r>
      <w:r>
        <w:t>venereal disease from consensual intercourse with an enlisted Naval petty officer</w:t>
      </w:r>
      <w:r w:rsidR="003D6D72">
        <w:t xml:space="preserve"> </w:t>
      </w:r>
      <w:r>
        <w:t>sued under the FTCA, alleging fraudulent concealment of the infection by the officer</w:t>
      </w:r>
      <w:r w:rsidR="003D6D72">
        <w:t xml:space="preserve"> </w:t>
      </w:r>
      <w:r>
        <w:t>and negligence on the part of the Navy. The court held that the fraudulent</w:t>
      </w:r>
      <w:r w:rsidR="003D6D72">
        <w:t xml:space="preserve"> </w:t>
      </w:r>
      <w:r>
        <w:t>concealment of infection claim made the officer’s actions a battery, and therefore fell</w:t>
      </w:r>
      <w:r w:rsidR="003D6D72">
        <w:t xml:space="preserve"> </w:t>
      </w:r>
      <w:r>
        <w:t>within the intentional tort exception to the FTCA's waiver of sovereign immunity.</w:t>
      </w:r>
      <w:r w:rsidR="003D6D72">
        <w:t xml:space="preserve"> </w:t>
      </w:r>
      <w:r>
        <w:t>Additionally, the claims of the Navy’s negligence were not sufficiently distinct from</w:t>
      </w:r>
      <w:r w:rsidR="003D6D72">
        <w:t xml:space="preserve"> </w:t>
      </w:r>
      <w:r>
        <w:t>the battery claim against the officer, and therefore were also not admissible under</w:t>
      </w:r>
      <w:r w:rsidR="003D6D72">
        <w:t xml:space="preserve"> </w:t>
      </w:r>
      <w:r>
        <w:t xml:space="preserve">the </w:t>
      </w:r>
      <w:proofErr w:type="gramStart"/>
      <w:r>
        <w:t>FTCA.[</w:t>
      </w:r>
      <w:proofErr w:type="spellStart"/>
      <w:proofErr w:type="gramEnd"/>
      <w:r w:rsidR="00F54E1C">
        <w:fldChar w:fldCharType="begin"/>
      </w:r>
      <w:r w:rsidR="00F54E1C">
        <w:instrText xml:space="preserve"> HYPERLINK "http://biotech.law.lsu.edu/cases/STDs/Leleux.htm" </w:instrText>
      </w:r>
      <w:r w:rsidR="00F54E1C">
        <w:fldChar w:fldCharType="separate"/>
      </w:r>
      <w:r>
        <w:rPr>
          <w:color w:val="0033FF"/>
          <w:u w:val="single"/>
        </w:rPr>
        <w:t>Leleux</w:t>
      </w:r>
      <w:proofErr w:type="spellEnd"/>
      <w:r>
        <w:rPr>
          <w:color w:val="0033FF"/>
          <w:u w:val="single"/>
        </w:rPr>
        <w:t xml:space="preserve"> v. United States, 178 F.3d 750 (5th Cir. 1999)</w:t>
      </w:r>
      <w:r w:rsidR="00F54E1C">
        <w:rPr>
          <w:color w:val="0033FF"/>
          <w:u w:val="single"/>
        </w:rPr>
        <w:fldChar w:fldCharType="end"/>
      </w:r>
      <w:r>
        <w:t>]</w:t>
      </w:r>
    </w:p>
    <w:p w14:paraId="5419F45B" w14:textId="77777777" w:rsidR="00D275D5" w:rsidRDefault="00D275D5" w:rsidP="00647C4B">
      <w:pPr>
        <w:pStyle w:val="BodyText"/>
      </w:pPr>
      <w:r>
        <w:t>In contrast, the assault and battery exception did not apply when there was no</w:t>
      </w:r>
      <w:r w:rsidR="003D6D72">
        <w:t xml:space="preserve"> </w:t>
      </w:r>
      <w:r>
        <w:t>intentional wrongful act on the part of a government surgeon in cutting into the</w:t>
      </w:r>
      <w:r w:rsidR="003D6D72">
        <w:t xml:space="preserve"> </w:t>
      </w:r>
      <w:r>
        <w:t>plaintiff's right knee when the left knee was supposed to be the one operated on.</w:t>
      </w:r>
      <w:r w:rsidR="003D6D72">
        <w:t xml:space="preserve"> </w:t>
      </w:r>
      <w:r>
        <w:t>The court in Lane v. United States, 225 F. Supp. 850 (D.C. Va. 1964) concluded that</w:t>
      </w:r>
      <w:r w:rsidR="003D6D72">
        <w:t xml:space="preserve"> </w:t>
      </w:r>
      <w:r>
        <w:t>§ 2680(h) was inapplicable because under general tort law, assault must contain an</w:t>
      </w:r>
      <w:r w:rsidR="003D6D72">
        <w:t xml:space="preserve"> </w:t>
      </w:r>
      <w:r>
        <w:t>element of intent. Furthermore, the surgeon was negligent, and this negligence</w:t>
      </w:r>
      <w:r w:rsidR="003D6D72">
        <w:t xml:space="preserve"> </w:t>
      </w:r>
      <w:r>
        <w:t>should not lose its identity simply because the ultimate injury was the combined</w:t>
      </w:r>
      <w:r w:rsidR="003D6D72">
        <w:t xml:space="preserve"> </w:t>
      </w:r>
      <w:r>
        <w:t xml:space="preserve">result of the negligence and the assault. The plaintiff </w:t>
      </w:r>
      <w:proofErr w:type="gramStart"/>
      <w:r>
        <w:t>was allowed to</w:t>
      </w:r>
      <w:proofErr w:type="gramEnd"/>
      <w:r>
        <w:t xml:space="preserve"> recover</w:t>
      </w:r>
      <w:r w:rsidR="003D6D72">
        <w:t xml:space="preserve"> </w:t>
      </w:r>
      <w:r>
        <w:t>damages from the government.</w:t>
      </w:r>
    </w:p>
    <w:p w14:paraId="02C0192F" w14:textId="77777777" w:rsidR="00D275D5" w:rsidRDefault="00D275D5" w:rsidP="00647C4B">
      <w:pPr>
        <w:pStyle w:val="BodyText"/>
      </w:pPr>
      <w:r>
        <w:lastRenderedPageBreak/>
        <w:t>Importantly, the assault or battery must have been committed by the government</w:t>
      </w:r>
      <w:r w:rsidR="003D6D72">
        <w:t xml:space="preserve"> </w:t>
      </w:r>
      <w:r>
        <w:t>employee, not by a third party. For example, where an Air Force psychiatrist</w:t>
      </w:r>
      <w:r w:rsidR="003D6D72">
        <w:t xml:space="preserve"> </w:t>
      </w:r>
      <w:r>
        <w:t>negligently failed to transmit to a second psychiatrist the history of a mentally ill</w:t>
      </w:r>
      <w:r w:rsidR="003D6D72">
        <w:t xml:space="preserve"> </w:t>
      </w:r>
      <w:r>
        <w:t>airman who, as a result, was released and killed his wife, the court said the assault</w:t>
      </w:r>
      <w:r w:rsidR="003D6D72">
        <w:t xml:space="preserve"> </w:t>
      </w:r>
      <w:r>
        <w:t>and battery exception was not applicable. The court noted that the assault and</w:t>
      </w:r>
      <w:r w:rsidR="003D6D72">
        <w:t xml:space="preserve"> </w:t>
      </w:r>
      <w:r>
        <w:t>battery exception applied only to assault by government agents, not to assault by</w:t>
      </w:r>
      <w:r w:rsidR="003D6D72">
        <w:t xml:space="preserve"> </w:t>
      </w:r>
      <w:r>
        <w:t>third parties which the government negligently failed to prevent. Underwood v. U.S.,</w:t>
      </w:r>
      <w:r w:rsidR="003D6D72">
        <w:t xml:space="preserve"> </w:t>
      </w:r>
      <w:r>
        <w:t xml:space="preserve">356 F.2d 92 (5th Cir. 1966). </w:t>
      </w:r>
    </w:p>
    <w:p w14:paraId="1E92D68D" w14:textId="77777777" w:rsidR="00D275D5" w:rsidRDefault="00D275D5" w:rsidP="004E5893">
      <w:pPr>
        <w:pStyle w:val="MMTopic5"/>
        <w:numPr>
          <w:ilvl w:val="0"/>
          <w:numId w:val="0"/>
        </w:numPr>
        <w:ind w:left="720"/>
        <w:outlineLvl w:val="2"/>
      </w:pPr>
      <w:r>
        <w:t>Defamation</w:t>
      </w:r>
    </w:p>
    <w:p w14:paraId="023D94BA" w14:textId="77777777" w:rsidR="00D275D5" w:rsidRDefault="00D275D5" w:rsidP="00647C4B">
      <w:pPr>
        <w:pStyle w:val="BodyText"/>
      </w:pPr>
      <w:r>
        <w:t>There is an express exception in the FTCA for libel and slander. Congress thus</w:t>
      </w:r>
      <w:r w:rsidR="003D6D72">
        <w:t xml:space="preserve"> </w:t>
      </w:r>
      <w:r>
        <w:t>intended to retain sovereign immunity with respect to defamation allegations</w:t>
      </w:r>
      <w:r w:rsidR="003D6D72">
        <w:t xml:space="preserve"> </w:t>
      </w:r>
      <w:r>
        <w:t>against federal employees. Government officials, including public health officials,</w:t>
      </w:r>
      <w:r w:rsidR="003D6D72">
        <w:t xml:space="preserve"> </w:t>
      </w:r>
      <w:r>
        <w:t>often use publicity, which might include defamation, to change or influence policy.</w:t>
      </w:r>
      <w:r w:rsidR="003D6D72">
        <w:t xml:space="preserve"> </w:t>
      </w:r>
      <w:r>
        <w:t>For example, if a health inspector informs the press about a restaurant’s violations,</w:t>
      </w:r>
      <w:r w:rsidR="003D6D72">
        <w:t xml:space="preserve"> </w:t>
      </w:r>
      <w:r>
        <w:t>the bad publicity generated might have more impact than any other enforcement</w:t>
      </w:r>
      <w:r w:rsidR="003D6D72">
        <w:t xml:space="preserve"> </w:t>
      </w:r>
      <w:r>
        <w:t>measure. The health inspector will generally not be held liable to the restaurant for</w:t>
      </w:r>
      <w:r w:rsidR="003D6D72">
        <w:t xml:space="preserve"> </w:t>
      </w:r>
      <w:r>
        <w:t xml:space="preserve">damages, even if the statements are false. </w:t>
      </w:r>
    </w:p>
    <w:p w14:paraId="0F7F6237" w14:textId="77777777" w:rsidR="00D275D5" w:rsidRDefault="00D275D5" w:rsidP="004E5893">
      <w:pPr>
        <w:pStyle w:val="MMTopic5"/>
        <w:numPr>
          <w:ilvl w:val="0"/>
          <w:numId w:val="0"/>
        </w:numPr>
        <w:ind w:left="720"/>
        <w:outlineLvl w:val="2"/>
      </w:pPr>
      <w:r>
        <w:t>Military</w:t>
      </w:r>
    </w:p>
    <w:p w14:paraId="24E785C4" w14:textId="77777777" w:rsidR="00D275D5" w:rsidRDefault="00D275D5" w:rsidP="00647C4B">
      <w:pPr>
        <w:pStyle w:val="BodyText"/>
      </w:pPr>
      <w:r>
        <w:t>In a military context, the federal government still retains immunity from liability</w:t>
      </w:r>
      <w:r w:rsidR="003D6D72">
        <w:t xml:space="preserve"> </w:t>
      </w:r>
      <w:r>
        <w:t xml:space="preserve">from suits by servicemen. In the seminal case </w:t>
      </w:r>
      <w:hyperlink r:id="rId11" w:history="1">
        <w:r>
          <w:rPr>
            <w:color w:val="0033FF"/>
            <w:u w:val="single"/>
          </w:rPr>
          <w:t>Feres v. U.S., 340 U.S. 135 (1950)</w:t>
        </w:r>
      </w:hyperlink>
      <w:r>
        <w:t>,</w:t>
      </w:r>
      <w:r w:rsidR="003D6D72">
        <w:t xml:space="preserve"> </w:t>
      </w:r>
      <w:r>
        <w:t>the Supreme Court held that the United States was not liable in tort for the death</w:t>
      </w:r>
      <w:r w:rsidR="003D6D72">
        <w:t xml:space="preserve"> </w:t>
      </w:r>
      <w:r>
        <w:t>of a serviceman by fire in the barracks while on active duty, or for the injury or</w:t>
      </w:r>
      <w:r w:rsidR="003D6D72">
        <w:t xml:space="preserve"> </w:t>
      </w:r>
      <w:r>
        <w:t>death of servicemen resulting from negligence in medical treatment by Army</w:t>
      </w:r>
      <w:r w:rsidR="003D6D72">
        <w:t xml:space="preserve"> </w:t>
      </w:r>
      <w:r>
        <w:t>surgeons. This case established that the FTCA does not waive immunity for</w:t>
      </w:r>
      <w:r w:rsidR="003D6D72">
        <w:t xml:space="preserve"> </w:t>
      </w:r>
      <w:r>
        <w:t xml:space="preserve">injuries to servicemen arising out of, or </w:t>
      </w:r>
      <w:proofErr w:type="gramStart"/>
      <w:r>
        <w:t>in the course of</w:t>
      </w:r>
      <w:proofErr w:type="gramEnd"/>
      <w:r>
        <w:t>, activity incident to</w:t>
      </w:r>
      <w:r w:rsidR="003D6D72">
        <w:t xml:space="preserve"> </w:t>
      </w:r>
      <w:r>
        <w:t xml:space="preserve">military service. Significantly, the </w:t>
      </w:r>
      <w:r>
        <w:rPr>
          <w:i/>
          <w:iCs/>
        </w:rPr>
        <w:t>Feres</w:t>
      </w:r>
      <w:r>
        <w:t xml:space="preserve"> bar on recovery does not hinge on the</w:t>
      </w:r>
      <w:r w:rsidR="003D6D72">
        <w:t xml:space="preserve"> </w:t>
      </w:r>
      <w:r>
        <w:t xml:space="preserve">military status of the tortfeasor. Rather, the </w:t>
      </w:r>
      <w:r>
        <w:rPr>
          <w:i/>
          <w:iCs/>
        </w:rPr>
        <w:t>Feres</w:t>
      </w:r>
      <w:r>
        <w:t xml:space="preserve"> doctrine bars all suits on behalf</w:t>
      </w:r>
      <w:r w:rsidR="003D6D72">
        <w:t xml:space="preserve"> </w:t>
      </w:r>
      <w:r>
        <w:t>of service members against the federal government based upon service- related</w:t>
      </w:r>
      <w:r w:rsidR="003D6D72">
        <w:t xml:space="preserve"> </w:t>
      </w:r>
      <w:r>
        <w:t xml:space="preserve">injuries. U.S. v. Johnson, 481 U.S. 681 (1987). </w:t>
      </w:r>
    </w:p>
    <w:p w14:paraId="61037A01" w14:textId="77777777" w:rsidR="00D275D5" w:rsidRDefault="00D275D5" w:rsidP="00647C4B">
      <w:pPr>
        <w:pStyle w:val="BodyText"/>
      </w:pPr>
      <w:r>
        <w:t>The government can be liable under the FTCA when the injury does not arise out</w:t>
      </w:r>
      <w:r w:rsidR="003D6D72">
        <w:t xml:space="preserve"> </w:t>
      </w:r>
      <w:r>
        <w:t>of conduct incident to military service. This “incident to service requirement” is</w:t>
      </w:r>
      <w:r w:rsidR="003D6D72">
        <w:t xml:space="preserve"> </w:t>
      </w:r>
      <w:r>
        <w:t>examined on a factual, case-by-case basis and will not be reduced to a bright-line</w:t>
      </w:r>
      <w:r w:rsidR="003D6D72">
        <w:t xml:space="preserve"> </w:t>
      </w:r>
      <w:r>
        <w:t>test. U.S. v. Shearer, 473 U.S. 52 (1985). Still, it is applied broadly by the courts to</w:t>
      </w:r>
      <w:r w:rsidR="003D6D72">
        <w:t xml:space="preserve"> </w:t>
      </w:r>
      <w:r>
        <w:t xml:space="preserve">bar government tort liability. For example, the </w:t>
      </w:r>
      <w:r>
        <w:rPr>
          <w:i/>
          <w:iCs/>
        </w:rPr>
        <w:t>Feres</w:t>
      </w:r>
      <w:r>
        <w:t xml:space="preserve"> doctrine barred an active</w:t>
      </w:r>
      <w:r w:rsidR="003D6D72">
        <w:t xml:space="preserve"> </w:t>
      </w:r>
      <w:r>
        <w:t>duty serviceman's claim for an injury incurred despite that the serviceman was off</w:t>
      </w:r>
      <w:r w:rsidR="003D6D72">
        <w:t xml:space="preserve"> </w:t>
      </w:r>
      <w:r>
        <w:t>duty playing basketball, some of those who treated his injury were civilians, and</w:t>
      </w:r>
      <w:r w:rsidR="003D6D72">
        <w:t xml:space="preserve"> </w:t>
      </w:r>
      <w:r>
        <w:t>his alternative legal remedies may have been inadequate. Borden v. Veterans</w:t>
      </w:r>
      <w:r w:rsidR="003D6D72">
        <w:t xml:space="preserve"> </w:t>
      </w:r>
      <w:r>
        <w:t>Admin., 41 F.3d 763 (1</w:t>
      </w:r>
      <w:r>
        <w:rPr>
          <w:vertAlign w:val="superscript"/>
        </w:rPr>
        <w:t>st</w:t>
      </w:r>
      <w:r>
        <w:t xml:space="preserve"> Cir. 1994). </w:t>
      </w:r>
    </w:p>
    <w:p w14:paraId="5D6C7558" w14:textId="77777777" w:rsidR="00D275D5" w:rsidRDefault="00D275D5" w:rsidP="00647C4B">
      <w:pPr>
        <w:pStyle w:val="BodyText"/>
      </w:pPr>
      <w:r>
        <w:t xml:space="preserve">Importantly, the </w:t>
      </w:r>
      <w:r>
        <w:rPr>
          <w:i/>
          <w:iCs/>
        </w:rPr>
        <w:t>Feres</w:t>
      </w:r>
      <w:r>
        <w:t xml:space="preserve"> doctrine only applies to active military personnel.</w:t>
      </w:r>
      <w:r w:rsidR="003D6D72">
        <w:t xml:space="preserve"> </w:t>
      </w:r>
      <w:r>
        <w:t>Therefore, claims brought by civilians or civilian dependents of service members</w:t>
      </w:r>
      <w:r w:rsidR="003D6D72">
        <w:t xml:space="preserve"> </w:t>
      </w:r>
      <w:r>
        <w:t xml:space="preserve">are not barred by </w:t>
      </w:r>
      <w:r>
        <w:rPr>
          <w:i/>
          <w:iCs/>
        </w:rPr>
        <w:t>Feres</w:t>
      </w:r>
      <w:r>
        <w:t xml:space="preserve">. </w:t>
      </w:r>
      <w:proofErr w:type="spellStart"/>
      <w:r>
        <w:t>Mossow</w:t>
      </w:r>
      <w:proofErr w:type="spellEnd"/>
      <w:r>
        <w:t xml:space="preserve"> By </w:t>
      </w:r>
      <w:proofErr w:type="spellStart"/>
      <w:r>
        <w:t>Mossow</w:t>
      </w:r>
      <w:proofErr w:type="spellEnd"/>
      <w:r>
        <w:t xml:space="preserve"> v. U.S., 987 F.2d 1365 (8</w:t>
      </w:r>
      <w:r>
        <w:rPr>
          <w:vertAlign w:val="superscript"/>
        </w:rPr>
        <w:t>th</w:t>
      </w:r>
      <w:r>
        <w:t xml:space="preserve"> Cir. 1993). </w:t>
      </w:r>
    </w:p>
    <w:p w14:paraId="24DE89E9" w14:textId="77777777" w:rsidR="00D275D5" w:rsidRDefault="00D275D5" w:rsidP="00647C4B">
      <w:pPr>
        <w:pStyle w:val="BodyText"/>
      </w:pPr>
      <w:r>
        <w:t>Retired military personnel are also not barred from bringing an FTCA claim by</w:t>
      </w:r>
      <w:r w:rsidR="003D6D72">
        <w:t xml:space="preserve"> </w:t>
      </w:r>
      <w:r>
        <w:rPr>
          <w:i/>
          <w:iCs/>
        </w:rPr>
        <w:t>Feres.</w:t>
      </w:r>
      <w:r>
        <w:t xml:space="preserve"> McGowan v. Scoggins, 881 F.2d 615 (9</w:t>
      </w:r>
      <w:r>
        <w:rPr>
          <w:vertAlign w:val="superscript"/>
        </w:rPr>
        <w:t>th</w:t>
      </w:r>
      <w:r>
        <w:t xml:space="preserve"> Cir. 1989). This case presented an</w:t>
      </w:r>
      <w:r w:rsidR="003D6D72">
        <w:t xml:space="preserve"> </w:t>
      </w:r>
      <w:r>
        <w:t>FTCA claim brought by a retired Army officer, seeking damages for harm suffered</w:t>
      </w:r>
      <w:r w:rsidR="003D6D72">
        <w:t xml:space="preserve"> </w:t>
      </w:r>
      <w:r>
        <w:t xml:space="preserve">while entering an </w:t>
      </w:r>
      <w:r>
        <w:lastRenderedPageBreak/>
        <w:t xml:space="preserve">Air Force Base. The court held that the </w:t>
      </w:r>
      <w:r>
        <w:rPr>
          <w:i/>
          <w:iCs/>
        </w:rPr>
        <w:t>Feres</w:t>
      </w:r>
      <w:r>
        <w:t xml:space="preserve"> doctrine is</w:t>
      </w:r>
      <w:r w:rsidR="003D6D72">
        <w:t xml:space="preserve"> </w:t>
      </w:r>
      <w:r>
        <w:t>inapplicable to a claim filed by someone who is not a member of the armed forces</w:t>
      </w:r>
      <w:r w:rsidR="003D6D72">
        <w:t xml:space="preserve"> </w:t>
      </w:r>
      <w:r>
        <w:t>for an injury that was not incident to current military service, or who is not subject</w:t>
      </w:r>
      <w:r w:rsidR="003D6D72">
        <w:t xml:space="preserve"> </w:t>
      </w:r>
      <w:r>
        <w:t xml:space="preserve">to supervision of military personnel. </w:t>
      </w:r>
    </w:p>
    <w:p w14:paraId="085D7A6D" w14:textId="77777777" w:rsidR="00D275D5" w:rsidRDefault="00D275D5" w:rsidP="00647C4B">
      <w:pPr>
        <w:pStyle w:val="BodyText"/>
      </w:pPr>
      <w:r>
        <w:t>Members of state National Guard units not in the active federal service are</w:t>
      </w:r>
      <w:r w:rsidR="003D6D72">
        <w:t xml:space="preserve"> </w:t>
      </w:r>
      <w:r>
        <w:t>considered employees of the individual state, not of the Federal Government.</w:t>
      </w:r>
      <w:r w:rsidR="003D6D72">
        <w:t xml:space="preserve"> </w:t>
      </w:r>
      <w:r>
        <w:t>Therefore, the United States is not held liable under the FTCA for the negligence</w:t>
      </w:r>
      <w:r w:rsidR="003D6D72">
        <w:t xml:space="preserve"> </w:t>
      </w:r>
      <w:r>
        <w:t>of nonactivated members of the guard.</w:t>
      </w:r>
      <w:r>
        <w:rPr>
          <w:b/>
          <w:bCs/>
        </w:rPr>
        <w:t xml:space="preserve"> </w:t>
      </w:r>
      <w:r>
        <w:t>Williams v. United States, 189 F.2d 607</w:t>
      </w:r>
      <w:r w:rsidR="003D6D72">
        <w:t xml:space="preserve"> </w:t>
      </w:r>
      <w:r>
        <w:t>(10</w:t>
      </w:r>
      <w:r>
        <w:rPr>
          <w:vertAlign w:val="superscript"/>
        </w:rPr>
        <w:t>th</w:t>
      </w:r>
      <w:r>
        <w:t xml:space="preserve"> Cir. 1951). </w:t>
      </w:r>
    </w:p>
    <w:p w14:paraId="052E65B8" w14:textId="77777777" w:rsidR="00D275D5" w:rsidRDefault="00D275D5" w:rsidP="004E5893">
      <w:pPr>
        <w:pStyle w:val="MMTopic5"/>
        <w:numPr>
          <w:ilvl w:val="0"/>
          <w:numId w:val="0"/>
        </w:numPr>
        <w:ind w:left="720"/>
        <w:outlineLvl w:val="2"/>
      </w:pPr>
      <w:r>
        <w:t>Law Enforcement Exception</w:t>
      </w:r>
    </w:p>
    <w:p w14:paraId="6000E735" w14:textId="77777777" w:rsidR="00D275D5" w:rsidRDefault="00D275D5" w:rsidP="00647C4B">
      <w:pPr>
        <w:pStyle w:val="BodyText"/>
      </w:pPr>
      <w:r>
        <w:t>After the United States Supreme Court created a right to sue for constitutional</w:t>
      </w:r>
      <w:r w:rsidR="003D6D72">
        <w:t xml:space="preserve"> </w:t>
      </w:r>
      <w:r>
        <w:t xml:space="preserve">violations - such as intentional torts - in the </w:t>
      </w:r>
      <w:hyperlink w:anchor="xpointer(/descendant-or-self::ap:Topic[@OId='4zuglNbJ9Eec11ZiFp3r+Q=='])" w:tgtFrame="_blank" w:history="1">
        <w:r>
          <w:rPr>
            <w:i/>
            <w:iCs/>
            <w:color w:val="0000FF"/>
            <w:u w:val="single"/>
          </w:rPr>
          <w:t>Bivens</w:t>
        </w:r>
      </w:hyperlink>
      <w:r>
        <w:t xml:space="preserve"> case, Congress amended the</w:t>
      </w:r>
      <w:r w:rsidR="003D6D72">
        <w:t xml:space="preserve"> </w:t>
      </w:r>
      <w:r>
        <w:t>FTCA to allow claims for assault, battery, false imprisonment, false arrest, abuse of</w:t>
      </w:r>
      <w:r w:rsidR="003D6D72">
        <w:t xml:space="preserve"> </w:t>
      </w:r>
      <w:r>
        <w:t>process, or malicious prosecution against an "investigative or law enforcement</w:t>
      </w:r>
      <w:r w:rsidR="003D6D72">
        <w:t xml:space="preserve"> </w:t>
      </w:r>
      <w:r>
        <w:t>officer" of the United States. An "investigative or law enforcement officer" was</w:t>
      </w:r>
      <w:r w:rsidR="003D6D72">
        <w:t xml:space="preserve"> </w:t>
      </w:r>
      <w:r>
        <w:t>defined as "...any officer of the United States who is empowered by law to execute</w:t>
      </w:r>
      <w:r w:rsidR="003D6D72">
        <w:t xml:space="preserve"> </w:t>
      </w:r>
      <w:r>
        <w:t>searches, to seize evidence, or to make arrests for violations of Federal law.</w:t>
      </w:r>
    </w:p>
    <w:p w14:paraId="1DB2D245" w14:textId="77777777" w:rsidR="00D275D5" w:rsidRDefault="00D275D5" w:rsidP="004E5893">
      <w:pPr>
        <w:pStyle w:val="MMTopic4"/>
        <w:numPr>
          <w:ilvl w:val="0"/>
          <w:numId w:val="0"/>
        </w:numPr>
        <w:ind w:left="540"/>
        <w:outlineLvl w:val="2"/>
      </w:pPr>
      <w:r>
        <w:t>The Government Contractor Defense</w:t>
      </w:r>
    </w:p>
    <w:p w14:paraId="703957C3" w14:textId="77777777" w:rsidR="00D275D5" w:rsidRDefault="00D275D5" w:rsidP="00913359">
      <w:pPr>
        <w:pStyle w:val="BodyText"/>
      </w:pPr>
      <w:r>
        <w:t>State tort claims are pre-empted where the plaintiff’s injury is caused by the</w:t>
      </w:r>
      <w:r w:rsidR="003D6D72">
        <w:t xml:space="preserve"> </w:t>
      </w:r>
      <w:r>
        <w:t>allegedly defective design of military equipment manufactured by the defendant</w:t>
      </w:r>
      <w:r w:rsidR="003D6D72">
        <w:t xml:space="preserve"> </w:t>
      </w:r>
      <w:r>
        <w:t>pursuant to a contract with the federal government. Boyle v United Technologies</w:t>
      </w:r>
      <w:r w:rsidR="003D6D72">
        <w:t xml:space="preserve"> </w:t>
      </w:r>
      <w:r>
        <w:t>Corp., 487 U.S. 500 (1988). This case established the government contractor</w:t>
      </w:r>
      <w:r w:rsidR="003D6D72">
        <w:t xml:space="preserve"> </w:t>
      </w:r>
      <w:r>
        <w:t>defense to tort liability. The Court reasoned that although state tort law may allow</w:t>
      </w:r>
      <w:r w:rsidR="003D6D72">
        <w:t xml:space="preserve"> </w:t>
      </w:r>
      <w:r>
        <w:t>products liability claims against military manufacturers, this is an area of uniquely</w:t>
      </w:r>
      <w:r w:rsidR="003D6D72">
        <w:t xml:space="preserve"> </w:t>
      </w:r>
      <w:r>
        <w:t>federal concern, regardless of the lack of federal legislation specifically claiming the</w:t>
      </w:r>
      <w:r w:rsidR="003D6D72">
        <w:t xml:space="preserve"> </w:t>
      </w:r>
      <w:r>
        <w:t xml:space="preserve">immunity the absence. </w:t>
      </w:r>
      <w:proofErr w:type="gramStart"/>
      <w:r>
        <w:t>In an effort to</w:t>
      </w:r>
      <w:proofErr w:type="gramEnd"/>
      <w:r>
        <w:t xml:space="preserve"> determine the scope of this defense, the Court</w:t>
      </w:r>
      <w:r w:rsidR="003D6D72">
        <w:t xml:space="preserve"> </w:t>
      </w:r>
      <w:r>
        <w:t>stated that this pre- emption is limited to areas of "significant conflict" between</w:t>
      </w:r>
      <w:r w:rsidR="003D6D72">
        <w:t xml:space="preserve"> </w:t>
      </w:r>
      <w:r>
        <w:t>federal policy and state law. For guidance on the extent of "significant conflict", the</w:t>
      </w:r>
      <w:r w:rsidR="003D6D72">
        <w:t xml:space="preserve"> </w:t>
      </w:r>
      <w:r>
        <w:t>court applied the discretionary function exception of the FTCA, which is to say that</w:t>
      </w:r>
      <w:r w:rsidR="003D6D72">
        <w:t xml:space="preserve"> </w:t>
      </w:r>
      <w:r>
        <w:t>state law will be pre-empted wherever it threatens a discretionary function of the</w:t>
      </w:r>
      <w:r w:rsidR="003D6D72">
        <w:t xml:space="preserve"> </w:t>
      </w:r>
      <w:r>
        <w:t>federal government. Here, the design of the allegedly defective product was a</w:t>
      </w:r>
      <w:r w:rsidR="003D6D72">
        <w:t xml:space="preserve"> </w:t>
      </w:r>
      <w:r>
        <w:t>military discretionary decision.</w:t>
      </w:r>
    </w:p>
    <w:p w14:paraId="62E8C49B" w14:textId="77777777" w:rsidR="00D275D5" w:rsidRDefault="00D275D5" w:rsidP="00913359">
      <w:pPr>
        <w:pStyle w:val="BodyText"/>
      </w:pPr>
      <w:r>
        <w:t xml:space="preserve">In sum, </w:t>
      </w:r>
      <w:r>
        <w:rPr>
          <w:i/>
          <w:iCs/>
        </w:rPr>
        <w:t>Boyle</w:t>
      </w:r>
      <w:r>
        <w:t xml:space="preserve"> established that state law which imposes liability on a military</w:t>
      </w:r>
      <w:r w:rsidR="003D6D72">
        <w:t xml:space="preserve"> </w:t>
      </w:r>
      <w:r>
        <w:t>manufacturer is pre-empted when (1) the US approved reasonable precise product</w:t>
      </w:r>
      <w:r w:rsidR="003D6D72">
        <w:t xml:space="preserve"> </w:t>
      </w:r>
      <w:r>
        <w:t>specifications, (2) the equipment conformed to those specifications, and (3) the</w:t>
      </w:r>
      <w:r w:rsidR="003D6D72">
        <w:t xml:space="preserve"> </w:t>
      </w:r>
      <w:r>
        <w:t xml:space="preserve">supplier warned the US of the known dangers of using the equipment. </w:t>
      </w:r>
    </w:p>
    <w:p w14:paraId="16CB5663" w14:textId="77777777" w:rsidR="00D275D5" w:rsidRDefault="00D275D5" w:rsidP="00913359">
      <w:pPr>
        <w:pStyle w:val="BodyText"/>
      </w:pPr>
      <w:r>
        <w:t>An important issue is whether the defense applies only to contracts with the military,</w:t>
      </w:r>
      <w:r w:rsidR="003D6D72">
        <w:t xml:space="preserve"> </w:t>
      </w:r>
      <w:r>
        <w:t>or whether it can be used by other government contractors. The Supreme Court has</w:t>
      </w:r>
      <w:r w:rsidR="003D6D72">
        <w:t xml:space="preserve"> </w:t>
      </w:r>
      <w:r>
        <w:t xml:space="preserve">employed language hinting that it may apply to all </w:t>
      </w:r>
      <w:proofErr w:type="gramStart"/>
      <w:r>
        <w:t>contractors, but</w:t>
      </w:r>
      <w:proofErr w:type="gramEnd"/>
      <w:r>
        <w:t xml:space="preserve"> has never spoke</w:t>
      </w:r>
      <w:r w:rsidR="003D6D72">
        <w:t xml:space="preserve"> </w:t>
      </w:r>
      <w:r>
        <w:t xml:space="preserve">directly on the issue. </w:t>
      </w:r>
      <w:r>
        <w:rPr>
          <w:i/>
          <w:iCs/>
        </w:rPr>
        <w:t xml:space="preserve">See </w:t>
      </w:r>
      <w:r>
        <w:t>Hercules, Inc. v. U.S., 516 U.S. 417, 421 (1996) ("The</w:t>
      </w:r>
      <w:r w:rsidR="003D6D72">
        <w:t xml:space="preserve"> </w:t>
      </w:r>
      <w:r>
        <w:t>Government contractor defense . . . shields contractors from tort liability for products</w:t>
      </w:r>
      <w:r w:rsidR="003D6D72">
        <w:t xml:space="preserve"> </w:t>
      </w:r>
      <w:r>
        <w:t>manufactured for the Government in accordance with Government specifications, if</w:t>
      </w:r>
      <w:r w:rsidR="003D6D72">
        <w:t xml:space="preserve"> </w:t>
      </w:r>
      <w:r>
        <w:t xml:space="preserve">the </w:t>
      </w:r>
      <w:r>
        <w:lastRenderedPageBreak/>
        <w:t>contractor warned the United States about any hazards known to the contractor</w:t>
      </w:r>
      <w:r w:rsidR="003D6D72">
        <w:t xml:space="preserve"> </w:t>
      </w:r>
      <w:r>
        <w:t xml:space="preserve">but not to the Government"). The lower federal courts are split on the issue. </w:t>
      </w:r>
    </w:p>
    <w:sectPr w:rsidR="00D275D5" w:rsidSect="00DA6417">
      <w:headerReference w:type="even" r:id="rId12"/>
      <w:head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2F77" w14:textId="77777777" w:rsidR="00DB00ED" w:rsidRDefault="00DB00ED">
      <w:r>
        <w:separator/>
      </w:r>
    </w:p>
  </w:endnote>
  <w:endnote w:type="continuationSeparator" w:id="0">
    <w:p w14:paraId="1D268302" w14:textId="77777777" w:rsidR="00DB00ED" w:rsidRDefault="00D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EBAC" w14:textId="77777777" w:rsidR="00DB00ED" w:rsidRDefault="00DB00ED">
      <w:r>
        <w:separator/>
      </w:r>
    </w:p>
  </w:footnote>
  <w:footnote w:type="continuationSeparator" w:id="0">
    <w:p w14:paraId="72960B2F" w14:textId="77777777" w:rsidR="00DB00ED" w:rsidRDefault="00DB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FDB4"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CE764" w14:textId="77777777" w:rsidR="00DA6417" w:rsidRDefault="00DA6417" w:rsidP="00DA64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0717" w14:textId="77777777"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678">
      <w:rPr>
        <w:rStyle w:val="PageNumber"/>
        <w:noProof/>
      </w:rPr>
      <w:t>15</w:t>
    </w:r>
    <w:r>
      <w:rPr>
        <w:rStyle w:val="PageNumber"/>
      </w:rPr>
      <w:fldChar w:fldCharType="end"/>
    </w:r>
  </w:p>
  <w:p w14:paraId="6576DF6F" w14:textId="77777777" w:rsidR="00DA6417" w:rsidRDefault="00DA6417" w:rsidP="00DA64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66253"/>
    <w:multiLevelType w:val="multilevel"/>
    <w:tmpl w:val="0C0A37B6"/>
    <w:lvl w:ilvl="0">
      <w:start w:val="1"/>
      <w:numFmt w:val="upperRoman"/>
      <w:suff w:val="space"/>
      <w:lvlText w:val="%1."/>
      <w:lvlJc w:val="left"/>
      <w:pPr>
        <w:tabs>
          <w:tab w:val="num" w:pos="360"/>
        </w:tabs>
        <w:ind w:left="0" w:firstLine="0"/>
      </w:pPr>
    </w:lvl>
    <w:lvl w:ilvl="1">
      <w:start w:val="1"/>
      <w:numFmt w:val="upperLetter"/>
      <w:suff w:val="space"/>
      <w:lvlText w:val="%2."/>
      <w:lvlJc w:val="left"/>
      <w:pPr>
        <w:tabs>
          <w:tab w:val="num" w:pos="720"/>
        </w:tabs>
        <w:ind w:left="0" w:firstLine="0"/>
      </w:pPr>
    </w:lvl>
    <w:lvl w:ilvl="2">
      <w:start w:val="1"/>
      <w:numFmt w:val="decimal"/>
      <w:suff w:val="space"/>
      <w:lvlText w:val="%3."/>
      <w:lvlJc w:val="left"/>
      <w:pPr>
        <w:tabs>
          <w:tab w:val="num" w:pos="1080"/>
        </w:tabs>
        <w:ind w:left="0" w:firstLine="0"/>
      </w:pPr>
    </w:lvl>
    <w:lvl w:ilvl="3">
      <w:start w:val="1"/>
      <w:numFmt w:val="lowerLetter"/>
      <w:pStyle w:val="MMTopic4"/>
      <w:suff w:val="space"/>
      <w:lvlText w:val="%4)"/>
      <w:lvlJc w:val="left"/>
      <w:pPr>
        <w:tabs>
          <w:tab w:val="num" w:pos="1440"/>
        </w:tabs>
        <w:ind w:left="0" w:firstLine="0"/>
      </w:pPr>
    </w:lvl>
    <w:lvl w:ilvl="4">
      <w:start w:val="1"/>
      <w:numFmt w:val="decimal"/>
      <w:pStyle w:val="MMTopic5"/>
      <w:suff w:val="space"/>
      <w:lvlText w:val="(%5)"/>
      <w:lvlJc w:val="left"/>
      <w:pPr>
        <w:tabs>
          <w:tab w:val="num" w:pos="1800"/>
        </w:tabs>
        <w:ind w:left="0" w:firstLine="0"/>
      </w:pPr>
    </w:lvl>
    <w:lvl w:ilvl="5">
      <w:start w:val="1"/>
      <w:numFmt w:val="lowerLetter"/>
      <w:pStyle w:val="MMTopic6"/>
      <w:suff w:val="space"/>
      <w:lvlText w:val="(%6)"/>
      <w:lvlJc w:val="left"/>
      <w:pPr>
        <w:tabs>
          <w:tab w:val="num" w:pos="2160"/>
        </w:tabs>
        <w:ind w:left="0" w:firstLine="0"/>
      </w:pPr>
    </w:lvl>
    <w:lvl w:ilvl="6">
      <w:start w:val="1"/>
      <w:numFmt w:val="lowerRoman"/>
      <w:pStyle w:val="MMTopic7"/>
      <w:suff w:val="space"/>
      <w:lvlText w:val="(%7)"/>
      <w:lvlJc w:val="left"/>
      <w:pPr>
        <w:tabs>
          <w:tab w:val="num" w:pos="252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B85920"/>
    <w:multiLevelType w:val="singleLevel"/>
    <w:tmpl w:val="C1E0352E"/>
    <w:lvl w:ilvl="0">
      <w:start w:val="4"/>
      <w:numFmt w:val="decimal"/>
      <w:lvlText w:val="(%1) "/>
      <w:legacy w:legacy="1" w:legacySpace="0" w:legacyIndent="360"/>
      <w:lvlJc w:val="left"/>
      <w:pPr>
        <w:ind w:left="1080" w:hanging="360"/>
      </w:pPr>
      <w:rPr>
        <w:b w:val="0"/>
        <w:i w:val="0"/>
        <w:sz w:val="20"/>
      </w:rPr>
    </w:lvl>
  </w:abstractNum>
  <w:abstractNum w:abstractNumId="8" w15:restartNumberingAfterBreak="0">
    <w:nsid w:val="4A014F99"/>
    <w:multiLevelType w:val="singleLevel"/>
    <w:tmpl w:val="3EFA4EEA"/>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9" w15:restartNumberingAfterBreak="0">
    <w:nsid w:val="4BC03755"/>
    <w:multiLevelType w:val="singleLevel"/>
    <w:tmpl w:val="EEBAE7F2"/>
    <w:lvl w:ilvl="0">
      <w:start w:val="7"/>
      <w:numFmt w:val="decimal"/>
      <w:lvlText w:val="%1. "/>
      <w:legacy w:legacy="1" w:legacySpace="0" w:legacyIndent="360"/>
      <w:lvlJc w:val="left"/>
      <w:pPr>
        <w:ind w:left="1080" w:hanging="360"/>
      </w:pPr>
      <w:rPr>
        <w:b w:val="0"/>
        <w:i w:val="0"/>
        <w:sz w:val="20"/>
      </w:rPr>
    </w:lvl>
  </w:abstractNum>
  <w:abstractNum w:abstractNumId="10"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7"/>
  </w:num>
  <w:num w:numId="10">
    <w:abstractNumId w:val="7"/>
    <w:lvlOverride w:ilvl="0">
      <w:lvl w:ilvl="0">
        <w:start w:val="5"/>
        <w:numFmt w:val="decimal"/>
        <w:lvlText w:val="(%1) "/>
        <w:legacy w:legacy="1" w:legacySpace="0" w:legacyIndent="360"/>
        <w:lvlJc w:val="left"/>
        <w:pPr>
          <w:ind w:left="1080" w:hanging="360"/>
        </w:pPr>
        <w:rPr>
          <w:b w:val="0"/>
          <w:i w:val="0"/>
          <w:sz w:val="20"/>
        </w:rPr>
      </w:lvl>
    </w:lvlOverride>
  </w:num>
  <w:num w:numId="11">
    <w:abstractNumId w:val="9"/>
  </w:num>
  <w:num w:numId="12">
    <w:abstractNumId w:val="5"/>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D5"/>
    <w:rsid w:val="00003CFC"/>
    <w:rsid w:val="0002181B"/>
    <w:rsid w:val="000433BD"/>
    <w:rsid w:val="00077463"/>
    <w:rsid w:val="000D513D"/>
    <w:rsid w:val="000E5344"/>
    <w:rsid w:val="000F06B6"/>
    <w:rsid w:val="00101754"/>
    <w:rsid w:val="00120E78"/>
    <w:rsid w:val="00135842"/>
    <w:rsid w:val="001630CC"/>
    <w:rsid w:val="001B6922"/>
    <w:rsid w:val="001E0BB2"/>
    <w:rsid w:val="001E32AD"/>
    <w:rsid w:val="00221EAB"/>
    <w:rsid w:val="00234038"/>
    <w:rsid w:val="00291461"/>
    <w:rsid w:val="00296B3B"/>
    <w:rsid w:val="002D02E3"/>
    <w:rsid w:val="002D34C6"/>
    <w:rsid w:val="003628C3"/>
    <w:rsid w:val="00365C5D"/>
    <w:rsid w:val="003A74EA"/>
    <w:rsid w:val="003C6825"/>
    <w:rsid w:val="003D6D72"/>
    <w:rsid w:val="003D7F93"/>
    <w:rsid w:val="004846E5"/>
    <w:rsid w:val="00486200"/>
    <w:rsid w:val="004A339A"/>
    <w:rsid w:val="004B020A"/>
    <w:rsid w:val="004B5FEB"/>
    <w:rsid w:val="004C03EE"/>
    <w:rsid w:val="004E5893"/>
    <w:rsid w:val="004E6114"/>
    <w:rsid w:val="005131E1"/>
    <w:rsid w:val="005232AD"/>
    <w:rsid w:val="00552E59"/>
    <w:rsid w:val="005767FB"/>
    <w:rsid w:val="00647C4B"/>
    <w:rsid w:val="006560DF"/>
    <w:rsid w:val="00656E46"/>
    <w:rsid w:val="00662DF3"/>
    <w:rsid w:val="006A2BF8"/>
    <w:rsid w:val="006A5430"/>
    <w:rsid w:val="006D264C"/>
    <w:rsid w:val="007735F9"/>
    <w:rsid w:val="0077624A"/>
    <w:rsid w:val="00782B9C"/>
    <w:rsid w:val="007C15D5"/>
    <w:rsid w:val="007E189D"/>
    <w:rsid w:val="008137B6"/>
    <w:rsid w:val="00823A9F"/>
    <w:rsid w:val="00887897"/>
    <w:rsid w:val="008B34B7"/>
    <w:rsid w:val="008D1678"/>
    <w:rsid w:val="008E5A21"/>
    <w:rsid w:val="00913359"/>
    <w:rsid w:val="0096713C"/>
    <w:rsid w:val="009D1C69"/>
    <w:rsid w:val="009D3936"/>
    <w:rsid w:val="009E24FC"/>
    <w:rsid w:val="00A06772"/>
    <w:rsid w:val="00A74E65"/>
    <w:rsid w:val="00B03ACF"/>
    <w:rsid w:val="00B52302"/>
    <w:rsid w:val="00B87343"/>
    <w:rsid w:val="00BA31D8"/>
    <w:rsid w:val="00BC6DAE"/>
    <w:rsid w:val="00BE02E5"/>
    <w:rsid w:val="00C34538"/>
    <w:rsid w:val="00C359CB"/>
    <w:rsid w:val="00C5390E"/>
    <w:rsid w:val="00C85BAD"/>
    <w:rsid w:val="00CB733C"/>
    <w:rsid w:val="00CE5208"/>
    <w:rsid w:val="00CF4950"/>
    <w:rsid w:val="00D275D5"/>
    <w:rsid w:val="00DA6417"/>
    <w:rsid w:val="00DB00ED"/>
    <w:rsid w:val="00DB5066"/>
    <w:rsid w:val="00DE5CC4"/>
    <w:rsid w:val="00E00395"/>
    <w:rsid w:val="00E14F2E"/>
    <w:rsid w:val="00E4030C"/>
    <w:rsid w:val="00E60BF1"/>
    <w:rsid w:val="00E65782"/>
    <w:rsid w:val="00EC65C6"/>
    <w:rsid w:val="00ED6254"/>
    <w:rsid w:val="00EE3655"/>
    <w:rsid w:val="00F17145"/>
    <w:rsid w:val="00F22FAA"/>
    <w:rsid w:val="00F402B0"/>
    <w:rsid w:val="00F54E1C"/>
    <w:rsid w:val="00FA248B"/>
    <w:rsid w:val="00FA5B0C"/>
    <w:rsid w:val="00FD4115"/>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BA71B"/>
  <w15:docId w15:val="{9F998D70-2C80-4B75-B6D4-7584048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E32AD"/>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1E32AD"/>
    <w:pPr>
      <w:widowControl w:val="0"/>
      <w:spacing w:before="240"/>
      <w:outlineLvl w:val="0"/>
    </w:pPr>
    <w:rPr>
      <w:b/>
    </w:rPr>
  </w:style>
  <w:style w:type="paragraph" w:styleId="Heading2">
    <w:name w:val="heading 2"/>
    <w:basedOn w:val="Heading1"/>
    <w:next w:val="Heading3"/>
    <w:link w:val="Heading2Char"/>
    <w:qFormat/>
    <w:rsid w:val="001E32AD"/>
    <w:pPr>
      <w:ind w:left="360"/>
      <w:outlineLvl w:val="1"/>
    </w:pPr>
  </w:style>
  <w:style w:type="paragraph" w:styleId="Heading3">
    <w:name w:val="heading 3"/>
    <w:basedOn w:val="Heading2"/>
    <w:next w:val="BodyText"/>
    <w:link w:val="Heading3Char"/>
    <w:qFormat/>
    <w:rsid w:val="001E32AD"/>
    <w:pPr>
      <w:ind w:left="720"/>
      <w:outlineLvl w:val="2"/>
    </w:pPr>
    <w:rPr>
      <w:szCs w:val="24"/>
    </w:rPr>
  </w:style>
  <w:style w:type="paragraph" w:styleId="Heading4">
    <w:name w:val="heading 4"/>
    <w:basedOn w:val="Heading3"/>
    <w:next w:val="BodyText"/>
    <w:link w:val="Heading4Char"/>
    <w:qFormat/>
    <w:rsid w:val="001E32AD"/>
    <w:pPr>
      <w:ind w:left="1080"/>
      <w:outlineLvl w:val="3"/>
    </w:pPr>
  </w:style>
  <w:style w:type="paragraph" w:styleId="Heading5">
    <w:name w:val="heading 5"/>
    <w:basedOn w:val="Heading4"/>
    <w:next w:val="BodyText"/>
    <w:link w:val="Heading5Char"/>
    <w:qFormat/>
    <w:rsid w:val="001E32AD"/>
    <w:pPr>
      <w:ind w:left="1440"/>
      <w:outlineLvl w:val="4"/>
    </w:pPr>
  </w:style>
  <w:style w:type="paragraph" w:styleId="Heading6">
    <w:name w:val="heading 6"/>
    <w:basedOn w:val="Heading5"/>
    <w:next w:val="BodyText"/>
    <w:link w:val="Heading6Char"/>
    <w:qFormat/>
    <w:rsid w:val="001E32AD"/>
    <w:pPr>
      <w:outlineLvl w:val="5"/>
    </w:pPr>
  </w:style>
  <w:style w:type="paragraph" w:styleId="Heading7">
    <w:name w:val="heading 7"/>
    <w:basedOn w:val="Heading6"/>
    <w:next w:val="BodyText"/>
    <w:link w:val="Heading7Char"/>
    <w:qFormat/>
    <w:rsid w:val="001E32AD"/>
    <w:pPr>
      <w:outlineLvl w:val="6"/>
    </w:pPr>
  </w:style>
  <w:style w:type="paragraph" w:styleId="Heading8">
    <w:name w:val="heading 8"/>
    <w:basedOn w:val="Heading7"/>
    <w:next w:val="BodyText"/>
    <w:link w:val="Heading8Char"/>
    <w:qFormat/>
    <w:rsid w:val="001E32AD"/>
    <w:pPr>
      <w:outlineLvl w:val="7"/>
    </w:pPr>
    <w:rPr>
      <w:i/>
    </w:rPr>
  </w:style>
  <w:style w:type="paragraph" w:styleId="Heading9">
    <w:name w:val="heading 9"/>
    <w:basedOn w:val="Heading8"/>
    <w:next w:val="BodyText"/>
    <w:link w:val="Heading9Char"/>
    <w:qFormat/>
    <w:rsid w:val="001E32AD"/>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1E32AD"/>
    <w:rPr>
      <w:rFonts w:ascii="Times New Roman" w:hAnsi="Times New Roman"/>
      <w:vertAlign w:val="superscript"/>
    </w:rPr>
  </w:style>
  <w:style w:type="paragraph" w:styleId="EndnoteText">
    <w:name w:val="endnote text"/>
    <w:basedOn w:val="Normal"/>
    <w:rsid w:val="001E32AD"/>
    <w:pPr>
      <w:overflowPunct w:val="0"/>
      <w:textAlignment w:val="baseline"/>
    </w:pPr>
    <w:rPr>
      <w:szCs w:val="24"/>
    </w:rPr>
  </w:style>
  <w:style w:type="paragraph" w:customStyle="1" w:styleId="Center">
    <w:name w:val="Center"/>
    <w:basedOn w:val="Normal"/>
    <w:rsid w:val="001E32AD"/>
    <w:pPr>
      <w:jc w:val="center"/>
    </w:pPr>
  </w:style>
  <w:style w:type="character" w:styleId="FootnoteReference">
    <w:name w:val="footnote reference"/>
    <w:aliases w:val="FN Reference"/>
    <w:basedOn w:val="DefaultParagraphFont"/>
    <w:qFormat/>
    <w:rsid w:val="001E32AD"/>
    <w:rPr>
      <w:rFonts w:ascii="Times New Roman" w:hAnsi="Times New Roman"/>
      <w:dstrike w:val="0"/>
      <w:position w:val="0"/>
      <w:sz w:val="24"/>
      <w:szCs w:val="24"/>
      <w:vertAlign w:val="superscript"/>
    </w:rPr>
  </w:style>
  <w:style w:type="paragraph" w:styleId="BodyText">
    <w:name w:val="Body Text"/>
    <w:basedOn w:val="basefont"/>
    <w:link w:val="BodyTextChar"/>
    <w:rsid w:val="001E32AD"/>
    <w:pPr>
      <w:spacing w:after="240"/>
    </w:pPr>
    <w:rPr>
      <w:noProof w:val="0"/>
    </w:rPr>
  </w:style>
  <w:style w:type="paragraph" w:styleId="FootnoteText">
    <w:name w:val="footnote text"/>
    <w:aliases w:val="FN Text"/>
    <w:basedOn w:val="basefont"/>
    <w:link w:val="FootnoteTextChar"/>
    <w:qFormat/>
    <w:rsid w:val="001E32AD"/>
    <w:pPr>
      <w:spacing w:after="120"/>
    </w:pPr>
    <w:rPr>
      <w:rFonts w:cs="Courier"/>
      <w:noProof w:val="0"/>
      <w:sz w:val="20"/>
    </w:rPr>
  </w:style>
  <w:style w:type="paragraph" w:styleId="BlockText">
    <w:name w:val="Block Text"/>
    <w:basedOn w:val="Normal"/>
    <w:rsid w:val="001E32AD"/>
    <w:pPr>
      <w:spacing w:after="120"/>
      <w:ind w:left="1440" w:right="1440"/>
    </w:pPr>
  </w:style>
  <w:style w:type="paragraph" w:customStyle="1" w:styleId="Bodytext-hidden">
    <w:name w:val="Body text - hidden"/>
    <w:basedOn w:val="BodyText"/>
    <w:rsid w:val="001E32AD"/>
    <w:rPr>
      <w:vanish/>
    </w:rPr>
  </w:style>
  <w:style w:type="paragraph" w:customStyle="1" w:styleId="Bodytext-Quote">
    <w:name w:val="Body text - Quote"/>
    <w:basedOn w:val="BodyText"/>
    <w:rsid w:val="001E32AD"/>
    <w:pPr>
      <w:ind w:left="720" w:right="720"/>
    </w:pPr>
  </w:style>
  <w:style w:type="paragraph" w:customStyle="1" w:styleId="basefont">
    <w:name w:val="base font"/>
    <w:next w:val="BodyText"/>
    <w:rsid w:val="001E32AD"/>
    <w:rPr>
      <w:noProof/>
      <w:sz w:val="24"/>
    </w:rPr>
  </w:style>
  <w:style w:type="paragraph" w:customStyle="1" w:styleId="MMEmpty">
    <w:name w:val="MM Empty"/>
    <w:basedOn w:val="Normal"/>
    <w:rsid w:val="001E32AD"/>
  </w:style>
  <w:style w:type="paragraph" w:customStyle="1" w:styleId="MMTitle">
    <w:name w:val="MM Title"/>
    <w:basedOn w:val="Title"/>
    <w:rsid w:val="001E32AD"/>
  </w:style>
  <w:style w:type="paragraph" w:styleId="Title">
    <w:name w:val="Title"/>
    <w:basedOn w:val="Normal"/>
    <w:link w:val="TitleChar"/>
    <w:qFormat/>
    <w:rsid w:val="001E32AD"/>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1E32AD"/>
    <w:pPr>
      <w:numPr>
        <w:numId w:val="2"/>
      </w:numPr>
      <w:tabs>
        <w:tab w:val="left" w:pos="0"/>
      </w:tabs>
    </w:pPr>
  </w:style>
  <w:style w:type="paragraph" w:customStyle="1" w:styleId="MMTopic2">
    <w:name w:val="MM Topic 2"/>
    <w:basedOn w:val="Heading2"/>
    <w:rsid w:val="001E32AD"/>
    <w:pPr>
      <w:numPr>
        <w:ilvl w:val="1"/>
        <w:numId w:val="2"/>
      </w:numPr>
      <w:tabs>
        <w:tab w:val="left" w:pos="0"/>
      </w:tabs>
    </w:pPr>
  </w:style>
  <w:style w:type="paragraph" w:customStyle="1" w:styleId="MMTopic3">
    <w:name w:val="MM Topic 3"/>
    <w:basedOn w:val="Heading3"/>
    <w:rsid w:val="001E32AD"/>
    <w:pPr>
      <w:numPr>
        <w:ilvl w:val="2"/>
        <w:numId w:val="2"/>
      </w:numPr>
      <w:tabs>
        <w:tab w:val="left" w:pos="0"/>
      </w:tabs>
    </w:pPr>
  </w:style>
  <w:style w:type="paragraph" w:styleId="BalloonText">
    <w:name w:val="Balloon Text"/>
    <w:basedOn w:val="Normal"/>
    <w:rsid w:val="001E32AD"/>
    <w:rPr>
      <w:rFonts w:ascii="Tahoma" w:hAnsi="Tahoma" w:cs="Tahoma"/>
      <w:sz w:val="16"/>
      <w:szCs w:val="16"/>
    </w:rPr>
  </w:style>
  <w:style w:type="character" w:styleId="Emphasis">
    <w:name w:val="Emphasis"/>
    <w:basedOn w:val="DefaultParagraphFont"/>
    <w:qFormat/>
    <w:rsid w:val="001E32AD"/>
    <w:rPr>
      <w:i/>
      <w:iCs/>
    </w:rPr>
  </w:style>
  <w:style w:type="paragraph" w:customStyle="1" w:styleId="FootnoteForm">
    <w:name w:val="Footnote Form"/>
    <w:basedOn w:val="Normal"/>
    <w:rsid w:val="001E32AD"/>
    <w:pPr>
      <w:tabs>
        <w:tab w:val="right" w:pos="432"/>
        <w:tab w:val="left" w:pos="547"/>
      </w:tabs>
      <w:overflowPunct w:val="0"/>
      <w:jc w:val="both"/>
      <w:textAlignment w:val="baseline"/>
    </w:pPr>
    <w:rPr>
      <w:sz w:val="16"/>
    </w:rPr>
  </w:style>
  <w:style w:type="character" w:styleId="Hyperlink">
    <w:name w:val="Hyperlink"/>
    <w:basedOn w:val="DefaultParagraphFont"/>
    <w:rsid w:val="001E32AD"/>
    <w:rPr>
      <w:color w:val="0033FF"/>
      <w:u w:val="single"/>
    </w:rPr>
  </w:style>
  <w:style w:type="paragraph" w:styleId="Index1">
    <w:name w:val="index 1"/>
    <w:basedOn w:val="Normal"/>
    <w:next w:val="Normal"/>
    <w:autoRedefine/>
    <w:rsid w:val="001E32AD"/>
    <w:pPr>
      <w:ind w:left="240" w:hanging="240"/>
    </w:pPr>
  </w:style>
  <w:style w:type="paragraph" w:styleId="Index2">
    <w:name w:val="index 2"/>
    <w:basedOn w:val="Normal"/>
    <w:next w:val="Normal"/>
    <w:autoRedefine/>
    <w:rsid w:val="001E32AD"/>
    <w:pPr>
      <w:ind w:left="480" w:hanging="240"/>
    </w:pPr>
  </w:style>
  <w:style w:type="paragraph" w:styleId="Index3">
    <w:name w:val="index 3"/>
    <w:basedOn w:val="Normal"/>
    <w:next w:val="Normal"/>
    <w:autoRedefine/>
    <w:rsid w:val="001E32AD"/>
    <w:pPr>
      <w:ind w:left="720" w:hanging="240"/>
    </w:pPr>
  </w:style>
  <w:style w:type="paragraph" w:styleId="Index4">
    <w:name w:val="index 4"/>
    <w:basedOn w:val="Normal"/>
    <w:next w:val="Normal"/>
    <w:autoRedefine/>
    <w:rsid w:val="001E32AD"/>
    <w:pPr>
      <w:ind w:left="960" w:hanging="240"/>
    </w:pPr>
  </w:style>
  <w:style w:type="paragraph" w:styleId="Index5">
    <w:name w:val="index 5"/>
    <w:basedOn w:val="Normal"/>
    <w:next w:val="Normal"/>
    <w:autoRedefine/>
    <w:rsid w:val="001E32AD"/>
    <w:pPr>
      <w:ind w:left="1200" w:hanging="240"/>
    </w:pPr>
  </w:style>
  <w:style w:type="paragraph" w:styleId="Index6">
    <w:name w:val="index 6"/>
    <w:basedOn w:val="Normal"/>
    <w:next w:val="Normal"/>
    <w:autoRedefine/>
    <w:rsid w:val="001E32AD"/>
    <w:pPr>
      <w:ind w:left="1440" w:hanging="240"/>
    </w:pPr>
  </w:style>
  <w:style w:type="paragraph" w:styleId="Index7">
    <w:name w:val="index 7"/>
    <w:basedOn w:val="Normal"/>
    <w:next w:val="Normal"/>
    <w:autoRedefine/>
    <w:rsid w:val="001E32AD"/>
    <w:pPr>
      <w:ind w:left="1680" w:hanging="240"/>
    </w:pPr>
  </w:style>
  <w:style w:type="paragraph" w:styleId="Index8">
    <w:name w:val="index 8"/>
    <w:basedOn w:val="Normal"/>
    <w:next w:val="Normal"/>
    <w:autoRedefine/>
    <w:rsid w:val="001E32AD"/>
    <w:pPr>
      <w:ind w:left="1920" w:hanging="240"/>
    </w:pPr>
  </w:style>
  <w:style w:type="paragraph" w:styleId="Index9">
    <w:name w:val="index 9"/>
    <w:basedOn w:val="Normal"/>
    <w:next w:val="Normal"/>
    <w:autoRedefine/>
    <w:rsid w:val="001E32AD"/>
    <w:pPr>
      <w:ind w:left="2160" w:hanging="240"/>
    </w:pPr>
  </w:style>
  <w:style w:type="paragraph" w:styleId="IndexHeading">
    <w:name w:val="index heading"/>
    <w:basedOn w:val="Normal"/>
    <w:next w:val="Index1"/>
    <w:rsid w:val="001E32AD"/>
    <w:rPr>
      <w:rFonts w:ascii="Arial" w:hAnsi="Arial" w:cs="Arial"/>
      <w:b/>
      <w:bCs/>
    </w:rPr>
  </w:style>
  <w:style w:type="paragraph" w:styleId="NormalWeb">
    <w:name w:val="Normal (Web)"/>
    <w:basedOn w:val="Normal"/>
    <w:rsid w:val="001E32AD"/>
    <w:pPr>
      <w:spacing w:before="100" w:beforeAutospacing="1" w:after="100" w:afterAutospacing="1"/>
    </w:pPr>
    <w:rPr>
      <w:szCs w:val="24"/>
    </w:rPr>
  </w:style>
  <w:style w:type="paragraph" w:styleId="PlainText">
    <w:name w:val="Plain Text"/>
    <w:basedOn w:val="Normal"/>
    <w:rsid w:val="001E32AD"/>
    <w:rPr>
      <w:rFonts w:ascii="Courier New" w:hAnsi="Courier New" w:cs="Courier New"/>
      <w:sz w:val="20"/>
    </w:rPr>
  </w:style>
  <w:style w:type="paragraph" w:customStyle="1" w:styleId="MMTopic4">
    <w:name w:val="MM Topic 4"/>
    <w:basedOn w:val="Heading4"/>
    <w:rsid w:val="00D275D5"/>
    <w:pPr>
      <w:numPr>
        <w:ilvl w:val="3"/>
        <w:numId w:val="8"/>
      </w:numPr>
      <w:tabs>
        <w:tab w:val="clear" w:pos="1440"/>
      </w:tabs>
    </w:pPr>
  </w:style>
  <w:style w:type="paragraph" w:customStyle="1" w:styleId="MMTopic5">
    <w:name w:val="MM Topic 5"/>
    <w:basedOn w:val="Heading5"/>
    <w:rsid w:val="00D275D5"/>
    <w:pPr>
      <w:numPr>
        <w:ilvl w:val="4"/>
        <w:numId w:val="8"/>
      </w:numPr>
      <w:tabs>
        <w:tab w:val="clear" w:pos="1800"/>
      </w:tabs>
    </w:pPr>
  </w:style>
  <w:style w:type="paragraph" w:customStyle="1" w:styleId="MMTopic6">
    <w:name w:val="MM Topic 6"/>
    <w:basedOn w:val="Heading6"/>
    <w:rsid w:val="00D275D5"/>
    <w:pPr>
      <w:numPr>
        <w:ilvl w:val="5"/>
        <w:numId w:val="8"/>
      </w:numPr>
      <w:tabs>
        <w:tab w:val="clear" w:pos="2160"/>
      </w:tabs>
    </w:pPr>
  </w:style>
  <w:style w:type="paragraph" w:customStyle="1" w:styleId="MMTopic7">
    <w:name w:val="MM Topic 7"/>
    <w:basedOn w:val="Heading7"/>
    <w:rsid w:val="00D275D5"/>
    <w:pPr>
      <w:numPr>
        <w:ilvl w:val="6"/>
        <w:numId w:val="8"/>
      </w:numPr>
      <w:tabs>
        <w:tab w:val="clear" w:pos="2520"/>
      </w:tabs>
    </w:pPr>
  </w:style>
  <w:style w:type="paragraph" w:styleId="Header">
    <w:name w:val="header"/>
    <w:basedOn w:val="Normal"/>
    <w:rsid w:val="001E0BB2"/>
    <w:pPr>
      <w:tabs>
        <w:tab w:val="center" w:pos="4320"/>
        <w:tab w:val="right" w:pos="8640"/>
      </w:tabs>
    </w:pPr>
  </w:style>
  <w:style w:type="character" w:styleId="PageNumber">
    <w:name w:val="page number"/>
    <w:basedOn w:val="DefaultParagraphFont"/>
    <w:rsid w:val="001E0BB2"/>
  </w:style>
  <w:style w:type="paragraph" w:styleId="Footer">
    <w:name w:val="footer"/>
    <w:basedOn w:val="Normal"/>
    <w:link w:val="FooterChar"/>
    <w:rsid w:val="001E0BB2"/>
    <w:pPr>
      <w:tabs>
        <w:tab w:val="center" w:pos="4320"/>
        <w:tab w:val="right" w:pos="8640"/>
      </w:tabs>
    </w:pPr>
  </w:style>
  <w:style w:type="character" w:customStyle="1" w:styleId="FooterChar">
    <w:name w:val="Footer Char"/>
    <w:basedOn w:val="DefaultParagraphFont"/>
    <w:link w:val="Footer"/>
    <w:rsid w:val="001E0BB2"/>
    <w:rPr>
      <w:sz w:val="24"/>
    </w:rPr>
  </w:style>
  <w:style w:type="paragraph" w:styleId="NormalIndent">
    <w:name w:val="Normal Indent"/>
    <w:basedOn w:val="Normal"/>
    <w:rsid w:val="001E0BB2"/>
    <w:pPr>
      <w:ind w:left="720"/>
    </w:pPr>
  </w:style>
  <w:style w:type="paragraph" w:styleId="Date">
    <w:name w:val="Date"/>
    <w:basedOn w:val="Normal"/>
    <w:next w:val="Normal"/>
    <w:link w:val="DateChar"/>
    <w:rsid w:val="001E0BB2"/>
  </w:style>
  <w:style w:type="character" w:customStyle="1" w:styleId="DateChar">
    <w:name w:val="Date Char"/>
    <w:basedOn w:val="DefaultParagraphFont"/>
    <w:link w:val="Date"/>
    <w:rsid w:val="001E0BB2"/>
    <w:rPr>
      <w:sz w:val="24"/>
    </w:rPr>
  </w:style>
  <w:style w:type="paragraph" w:styleId="ListBullet2">
    <w:name w:val="List Bullet 2"/>
    <w:basedOn w:val="Normal"/>
    <w:rsid w:val="001E0BB2"/>
    <w:pPr>
      <w:ind w:left="720" w:hanging="360"/>
    </w:pPr>
    <w:rPr>
      <w:b/>
      <w:i/>
    </w:rPr>
  </w:style>
  <w:style w:type="paragraph" w:styleId="List2">
    <w:name w:val="List 2"/>
    <w:basedOn w:val="Normal"/>
    <w:rsid w:val="001E0BB2"/>
    <w:pPr>
      <w:ind w:left="720" w:hanging="360"/>
    </w:pPr>
  </w:style>
  <w:style w:type="paragraph" w:styleId="List">
    <w:name w:val="List"/>
    <w:basedOn w:val="Normal"/>
    <w:rsid w:val="001E0BB2"/>
    <w:pPr>
      <w:keepNext/>
      <w:keepLines/>
      <w:ind w:left="720" w:hanging="720"/>
    </w:pPr>
    <w:rPr>
      <w:b/>
    </w:rPr>
  </w:style>
  <w:style w:type="paragraph" w:customStyle="1" w:styleId="Quote1">
    <w:name w:val="Quote1"/>
    <w:basedOn w:val="Normal"/>
    <w:rsid w:val="001E0BB2"/>
    <w:pPr>
      <w:ind w:left="720" w:right="720"/>
    </w:pPr>
  </w:style>
  <w:style w:type="paragraph" w:styleId="List3">
    <w:name w:val="List 3"/>
    <w:basedOn w:val="Normal"/>
    <w:rsid w:val="001E0BB2"/>
    <w:pPr>
      <w:ind w:left="1080" w:hanging="360"/>
    </w:pPr>
  </w:style>
  <w:style w:type="paragraph" w:styleId="List4">
    <w:name w:val="List 4"/>
    <w:basedOn w:val="Normal"/>
    <w:rsid w:val="001E0BB2"/>
    <w:pPr>
      <w:ind w:left="1440" w:hanging="360"/>
    </w:pPr>
  </w:style>
  <w:style w:type="paragraph" w:styleId="List5">
    <w:name w:val="List 5"/>
    <w:basedOn w:val="Normal"/>
    <w:rsid w:val="001E0BB2"/>
    <w:pPr>
      <w:ind w:left="1800" w:hanging="360"/>
    </w:pPr>
  </w:style>
  <w:style w:type="paragraph" w:customStyle="1" w:styleId="NormalIndent1">
    <w:name w:val="Normal Indent 1"/>
    <w:basedOn w:val="Normal"/>
    <w:rsid w:val="001E0BB2"/>
    <w:pPr>
      <w:ind w:left="1440"/>
    </w:pPr>
  </w:style>
  <w:style w:type="paragraph" w:customStyle="1" w:styleId="hang0">
    <w:name w:val="hang 0"/>
    <w:basedOn w:val="Normal"/>
    <w:rsid w:val="001E0BB2"/>
    <w:pPr>
      <w:spacing w:after="40"/>
      <w:ind w:left="360" w:hanging="360"/>
    </w:pPr>
  </w:style>
  <w:style w:type="paragraph" w:customStyle="1" w:styleId="hang1">
    <w:name w:val="hang 1"/>
    <w:basedOn w:val="hang0"/>
    <w:rsid w:val="001E0BB2"/>
    <w:pPr>
      <w:spacing w:after="0"/>
      <w:ind w:left="720"/>
    </w:pPr>
  </w:style>
  <w:style w:type="paragraph" w:customStyle="1" w:styleId="hang2">
    <w:name w:val="hang 2"/>
    <w:basedOn w:val="hang1"/>
    <w:rsid w:val="001E0BB2"/>
    <w:pPr>
      <w:ind w:left="1080"/>
    </w:pPr>
  </w:style>
  <w:style w:type="paragraph" w:customStyle="1" w:styleId="hang3">
    <w:name w:val="hang 3"/>
    <w:basedOn w:val="hang0"/>
    <w:rsid w:val="001E0BB2"/>
    <w:pPr>
      <w:ind w:left="1440"/>
    </w:pPr>
  </w:style>
  <w:style w:type="paragraph" w:customStyle="1" w:styleId="CellHeading">
    <w:name w:val="CellHeading"/>
    <w:rsid w:val="001E0BB2"/>
    <w:pPr>
      <w:keepNext/>
      <w:widowControl w:val="0"/>
      <w:spacing w:line="200" w:lineRule="atLeast"/>
    </w:pPr>
    <w:rPr>
      <w:b/>
      <w:color w:val="000000"/>
      <w:sz w:val="18"/>
    </w:rPr>
  </w:style>
  <w:style w:type="paragraph" w:customStyle="1" w:styleId="Body">
    <w:name w:val="Body"/>
    <w:rsid w:val="001E0BB2"/>
    <w:pPr>
      <w:widowControl w:val="0"/>
      <w:spacing w:line="280" w:lineRule="atLeast"/>
    </w:pPr>
    <w:rPr>
      <w:color w:val="000000"/>
      <w:sz w:val="24"/>
    </w:rPr>
  </w:style>
  <w:style w:type="paragraph" w:customStyle="1" w:styleId="Blockquote">
    <w:name w:val="Blockquote"/>
    <w:basedOn w:val="Normal"/>
    <w:rsid w:val="001E0BB2"/>
    <w:pPr>
      <w:spacing w:before="60"/>
      <w:ind w:left="360" w:right="360"/>
    </w:pPr>
  </w:style>
  <w:style w:type="character" w:customStyle="1" w:styleId="Strong1">
    <w:name w:val="Strong1"/>
    <w:aliases w:val="STRONG"/>
    <w:basedOn w:val="DefaultParagraphFont"/>
    <w:rsid w:val="001E0BB2"/>
    <w:rPr>
      <w:b/>
    </w:rPr>
  </w:style>
  <w:style w:type="paragraph" w:customStyle="1" w:styleId="InitialStyle">
    <w:name w:val="Initial Style"/>
    <w:rsid w:val="001E0BB2"/>
    <w:pPr>
      <w:widowControl w:val="0"/>
      <w:spacing w:before="259" w:line="259" w:lineRule="atLeast"/>
    </w:pPr>
    <w:rPr>
      <w:color w:val="000000"/>
      <w:sz w:val="21"/>
    </w:rPr>
  </w:style>
  <w:style w:type="paragraph" w:customStyle="1" w:styleId="quote-intent15">
    <w:name w:val="quote - intent 1.5"/>
    <w:basedOn w:val="Quote1"/>
    <w:rsid w:val="001E0BB2"/>
    <w:pPr>
      <w:ind w:left="2160"/>
    </w:pPr>
  </w:style>
  <w:style w:type="paragraph" w:customStyle="1" w:styleId="basetextstyle">
    <w:name w:val="base text style"/>
    <w:rsid w:val="001E0BB2"/>
    <w:rPr>
      <w:sz w:val="24"/>
    </w:rPr>
  </w:style>
  <w:style w:type="paragraph" w:customStyle="1" w:styleId="quote-hang0">
    <w:name w:val="quote - hang0"/>
    <w:basedOn w:val="Quote1"/>
    <w:rsid w:val="001E0BB2"/>
    <w:pPr>
      <w:ind w:left="1440" w:hanging="720"/>
    </w:pPr>
  </w:style>
  <w:style w:type="paragraph" w:customStyle="1" w:styleId="quote-hang2">
    <w:name w:val="quote - hang2"/>
    <w:basedOn w:val="Quote1"/>
    <w:rsid w:val="001E0BB2"/>
    <w:pPr>
      <w:ind w:left="2880" w:hanging="720"/>
    </w:pPr>
  </w:style>
  <w:style w:type="paragraph" w:customStyle="1" w:styleId="quote-hang1">
    <w:name w:val="quote - hang1"/>
    <w:basedOn w:val="Quote1"/>
    <w:rsid w:val="001E0BB2"/>
    <w:pPr>
      <w:ind w:left="2160" w:hanging="720"/>
    </w:pPr>
  </w:style>
  <w:style w:type="paragraph" w:customStyle="1" w:styleId="quote-indent1">
    <w:name w:val="quote - indent 1"/>
    <w:basedOn w:val="Quote1"/>
    <w:rsid w:val="001E0BB2"/>
    <w:pPr>
      <w:ind w:left="1440"/>
    </w:pPr>
  </w:style>
  <w:style w:type="paragraph" w:customStyle="1" w:styleId="NormalIndentHanging">
    <w:name w:val="Normal Indent Hanging"/>
    <w:basedOn w:val="NormalIndent"/>
    <w:rsid w:val="001E0BB2"/>
    <w:pPr>
      <w:ind w:left="1440" w:hanging="720"/>
    </w:pPr>
  </w:style>
  <w:style w:type="paragraph" w:styleId="TOC1">
    <w:name w:val="toc 1"/>
    <w:basedOn w:val="Normal"/>
    <w:next w:val="Normal"/>
    <w:rsid w:val="001E0BB2"/>
    <w:pPr>
      <w:spacing w:before="240"/>
    </w:pPr>
    <w:rPr>
      <w:b/>
      <w:noProof/>
      <w:sz w:val="28"/>
    </w:rPr>
  </w:style>
  <w:style w:type="paragraph" w:styleId="TOC2">
    <w:name w:val="toc 2"/>
    <w:basedOn w:val="Normal"/>
    <w:next w:val="Normal"/>
    <w:rsid w:val="001E0BB2"/>
    <w:pPr>
      <w:tabs>
        <w:tab w:val="right" w:leader="dot" w:pos="9350"/>
      </w:tabs>
      <w:ind w:left="216"/>
    </w:pPr>
    <w:rPr>
      <w:noProof/>
    </w:rPr>
  </w:style>
  <w:style w:type="paragraph" w:styleId="TOC3">
    <w:name w:val="toc 3"/>
    <w:basedOn w:val="Normal"/>
    <w:next w:val="Normal"/>
    <w:rsid w:val="001E0BB2"/>
    <w:pPr>
      <w:ind w:left="446"/>
    </w:pPr>
  </w:style>
  <w:style w:type="paragraph" w:styleId="TOC4">
    <w:name w:val="toc 4"/>
    <w:basedOn w:val="Normal"/>
    <w:next w:val="Normal"/>
    <w:rsid w:val="001E0BB2"/>
    <w:pPr>
      <w:ind w:left="662"/>
    </w:pPr>
  </w:style>
  <w:style w:type="paragraph" w:styleId="TOC5">
    <w:name w:val="toc 5"/>
    <w:basedOn w:val="Normal"/>
    <w:next w:val="Normal"/>
    <w:rsid w:val="001E0BB2"/>
    <w:pPr>
      <w:ind w:left="880"/>
    </w:pPr>
  </w:style>
  <w:style w:type="paragraph" w:styleId="TOC6">
    <w:name w:val="toc 6"/>
    <w:basedOn w:val="Normal"/>
    <w:next w:val="Normal"/>
    <w:rsid w:val="001E0BB2"/>
    <w:pPr>
      <w:ind w:left="1100"/>
    </w:pPr>
  </w:style>
  <w:style w:type="paragraph" w:styleId="TOC7">
    <w:name w:val="toc 7"/>
    <w:basedOn w:val="Normal"/>
    <w:next w:val="Normal"/>
    <w:rsid w:val="001E0BB2"/>
    <w:pPr>
      <w:ind w:left="1320"/>
    </w:pPr>
  </w:style>
  <w:style w:type="paragraph" w:styleId="TOC8">
    <w:name w:val="toc 8"/>
    <w:basedOn w:val="Normal"/>
    <w:next w:val="Normal"/>
    <w:rsid w:val="001E0BB2"/>
    <w:pPr>
      <w:ind w:left="1540"/>
    </w:pPr>
  </w:style>
  <w:style w:type="paragraph" w:styleId="TOC9">
    <w:name w:val="toc 9"/>
    <w:basedOn w:val="Normal"/>
    <w:next w:val="Normal"/>
    <w:rsid w:val="001E0BB2"/>
    <w:pPr>
      <w:ind w:left="1760"/>
    </w:pPr>
  </w:style>
  <w:style w:type="paragraph" w:styleId="DocumentMap">
    <w:name w:val="Document Map"/>
    <w:basedOn w:val="Normal"/>
    <w:link w:val="DocumentMapChar"/>
    <w:rsid w:val="001E0BB2"/>
    <w:pPr>
      <w:shd w:val="clear" w:color="auto" w:fill="000080"/>
    </w:pPr>
    <w:rPr>
      <w:rFonts w:ascii="Tahoma" w:hAnsi="Tahoma"/>
    </w:rPr>
  </w:style>
  <w:style w:type="character" w:customStyle="1" w:styleId="DocumentMapChar">
    <w:name w:val="Document Map Char"/>
    <w:basedOn w:val="DefaultParagraphFont"/>
    <w:link w:val="DocumentMap"/>
    <w:rsid w:val="001E0BB2"/>
    <w:rPr>
      <w:rFonts w:ascii="Tahoma" w:hAnsi="Tahoma"/>
      <w:sz w:val="24"/>
      <w:shd w:val="clear" w:color="auto" w:fill="000080"/>
    </w:rPr>
  </w:style>
  <w:style w:type="paragraph" w:styleId="TableofAuthorities">
    <w:name w:val="table of authorities"/>
    <w:basedOn w:val="Normal"/>
    <w:next w:val="Normal"/>
    <w:rsid w:val="001E0BB2"/>
    <w:pPr>
      <w:ind w:left="220" w:hanging="220"/>
    </w:pPr>
  </w:style>
  <w:style w:type="paragraph" w:styleId="TOAHeading">
    <w:name w:val="toa heading"/>
    <w:basedOn w:val="Normal"/>
    <w:next w:val="Normal"/>
    <w:rsid w:val="001E0BB2"/>
    <w:pPr>
      <w:spacing w:before="120"/>
    </w:pPr>
    <w:rPr>
      <w:rFonts w:ascii="Arial" w:hAnsi="Arial"/>
      <w:b/>
    </w:rPr>
  </w:style>
  <w:style w:type="paragraph" w:styleId="BodyText2">
    <w:name w:val="Body Text 2"/>
    <w:basedOn w:val="Normal"/>
    <w:link w:val="BodyText2Char"/>
    <w:rsid w:val="001E0BB2"/>
    <w:pPr>
      <w:tabs>
        <w:tab w:val="left" w:pos="-720"/>
        <w:tab w:val="left" w:pos="0"/>
        <w:tab w:val="left" w:pos="1440"/>
        <w:tab w:val="left" w:pos="1980"/>
        <w:tab w:val="left" w:pos="2880"/>
      </w:tabs>
      <w:spacing w:after="0"/>
      <w:ind w:left="1440"/>
      <w:jc w:val="both"/>
    </w:pPr>
    <w:rPr>
      <w:rFonts w:ascii="Arial" w:hAnsi="Arial"/>
      <w:spacing w:val="-3"/>
    </w:rPr>
  </w:style>
  <w:style w:type="character" w:customStyle="1" w:styleId="BodyText2Char">
    <w:name w:val="Body Text 2 Char"/>
    <w:basedOn w:val="DefaultParagraphFont"/>
    <w:link w:val="BodyText2"/>
    <w:rsid w:val="001E0BB2"/>
    <w:rPr>
      <w:rFonts w:ascii="Arial" w:hAnsi="Arial"/>
      <w:spacing w:val="-3"/>
      <w:sz w:val="24"/>
    </w:rPr>
  </w:style>
  <w:style w:type="paragraph" w:customStyle="1" w:styleId="TitleTOCIndex">
    <w:name w:val="TitleTOC/Index"/>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ind w:firstLine="216"/>
    </w:pPr>
    <w:rPr>
      <w:i/>
      <w:noProof/>
      <w:color w:val="000000"/>
      <w:sz w:val="48"/>
    </w:rPr>
  </w:style>
  <w:style w:type="paragraph" w:customStyle="1" w:styleId="Glossary">
    <w:name w:val="Glossary"/>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60" w:lineRule="atLeast"/>
      <w:ind w:left="2880" w:hanging="2880"/>
      <w:jc w:val="both"/>
    </w:pPr>
    <w:rPr>
      <w:noProof/>
      <w:color w:val="000000"/>
      <w:sz w:val="22"/>
    </w:rPr>
  </w:style>
  <w:style w:type="paragraph" w:customStyle="1" w:styleId="Normal-4ptspacing">
    <w:name w:val="Normal - 4 pt spacing"/>
    <w:basedOn w:val="Normal"/>
    <w:rsid w:val="001E0BB2"/>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pacing w:after="80"/>
    </w:pPr>
  </w:style>
  <w:style w:type="paragraph" w:customStyle="1" w:styleId="quotation">
    <w:name w:val="quotation"/>
    <w:basedOn w:val="Normal"/>
    <w:rsid w:val="001E0BB2"/>
    <w:pPr>
      <w:ind w:left="720" w:right="720"/>
    </w:pPr>
  </w:style>
  <w:style w:type="paragraph" w:customStyle="1" w:styleId="Normal-Hanging">
    <w:name w:val="Normal - Hanging"/>
    <w:basedOn w:val="Normal"/>
    <w:rsid w:val="001E0BB2"/>
    <w:pPr>
      <w:ind w:left="720" w:hanging="720"/>
    </w:pPr>
  </w:style>
  <w:style w:type="paragraph" w:styleId="BodyTextIndent2">
    <w:name w:val="Body Text Indent 2"/>
    <w:basedOn w:val="Normal"/>
    <w:link w:val="BodyTextIndent2Char"/>
    <w:rsid w:val="001E0BB2"/>
    <w:pPr>
      <w:tabs>
        <w:tab w:val="left" w:pos="-720"/>
      </w:tabs>
      <w:spacing w:after="0"/>
      <w:ind w:left="1440" w:hanging="1440"/>
      <w:jc w:val="both"/>
    </w:pPr>
    <w:rPr>
      <w:spacing w:val="-3"/>
    </w:rPr>
  </w:style>
  <w:style w:type="character" w:customStyle="1" w:styleId="BodyTextIndent2Char">
    <w:name w:val="Body Text Indent 2 Char"/>
    <w:basedOn w:val="DefaultParagraphFont"/>
    <w:link w:val="BodyTextIndent2"/>
    <w:rsid w:val="001E0BB2"/>
    <w:rPr>
      <w:spacing w:val="-3"/>
      <w:sz w:val="24"/>
    </w:rPr>
  </w:style>
  <w:style w:type="paragraph" w:styleId="ListNumber">
    <w:name w:val="List Number"/>
    <w:basedOn w:val="Normal"/>
    <w:rsid w:val="001E0BB2"/>
    <w:pPr>
      <w:tabs>
        <w:tab w:val="num" w:pos="360"/>
      </w:tabs>
      <w:ind w:left="360" w:hanging="360"/>
    </w:pPr>
  </w:style>
  <w:style w:type="paragraph" w:styleId="ListNumber2">
    <w:name w:val="List Number 2"/>
    <w:basedOn w:val="Normal"/>
    <w:rsid w:val="001E0BB2"/>
    <w:pPr>
      <w:tabs>
        <w:tab w:val="num" w:pos="360"/>
      </w:tabs>
      <w:ind w:left="360" w:hanging="360"/>
    </w:pPr>
  </w:style>
  <w:style w:type="paragraph" w:styleId="ListNumber3">
    <w:name w:val="List Number 3"/>
    <w:basedOn w:val="Normal"/>
    <w:rsid w:val="001E0BB2"/>
    <w:pPr>
      <w:tabs>
        <w:tab w:val="num" w:pos="1080"/>
      </w:tabs>
      <w:ind w:left="1080" w:hanging="360"/>
    </w:pPr>
  </w:style>
  <w:style w:type="paragraph" w:customStyle="1" w:styleId="H4">
    <w:name w:val="H4"/>
    <w:basedOn w:val="Normal"/>
    <w:next w:val="Normal"/>
    <w:rsid w:val="001E0BB2"/>
    <w:pPr>
      <w:keepNext/>
      <w:spacing w:before="100" w:after="100"/>
    </w:pPr>
    <w:rPr>
      <w:b/>
    </w:rPr>
  </w:style>
  <w:style w:type="paragraph" w:customStyle="1" w:styleId="Highlights">
    <w:name w:val="Highlights"/>
    <w:basedOn w:val="Normal"/>
    <w:next w:val="ListBullet2"/>
    <w:rsid w:val="001E0BB2"/>
    <w:pPr>
      <w:keepNext/>
      <w:keepLines/>
    </w:pPr>
    <w:rPr>
      <w:b/>
      <w:smallCaps/>
    </w:rPr>
  </w:style>
  <w:style w:type="character" w:customStyle="1" w:styleId="Heading3Char">
    <w:name w:val="Heading 3 Char"/>
    <w:link w:val="Heading3"/>
    <w:rsid w:val="001E32AD"/>
    <w:rPr>
      <w:b/>
      <w:sz w:val="24"/>
      <w:szCs w:val="24"/>
    </w:rPr>
  </w:style>
  <w:style w:type="character" w:customStyle="1" w:styleId="Heading4Char">
    <w:name w:val="Heading 4 Char"/>
    <w:link w:val="Heading4"/>
    <w:rsid w:val="001E32AD"/>
    <w:rPr>
      <w:b/>
      <w:sz w:val="24"/>
      <w:szCs w:val="24"/>
    </w:rPr>
  </w:style>
  <w:style w:type="paragraph" w:customStyle="1" w:styleId="NoSpacing1">
    <w:name w:val="No Spacing1"/>
    <w:uiPriority w:val="1"/>
    <w:qFormat/>
    <w:rsid w:val="001E32AD"/>
    <w:rPr>
      <w:rFonts w:ascii="Cambria" w:eastAsia="Cambria" w:hAnsi="Cambria"/>
      <w:sz w:val="22"/>
      <w:szCs w:val="22"/>
    </w:rPr>
  </w:style>
  <w:style w:type="paragraph" w:customStyle="1" w:styleId="chapter">
    <w:name w:val="chapter"/>
    <w:basedOn w:val="Normal"/>
    <w:qFormat/>
    <w:rsid w:val="001E32AD"/>
    <w:pPr>
      <w:jc w:val="center"/>
    </w:pPr>
    <w:rPr>
      <w:sz w:val="28"/>
    </w:rPr>
  </w:style>
  <w:style w:type="character" w:customStyle="1" w:styleId="Heading1Char">
    <w:name w:val="Heading 1 Char"/>
    <w:link w:val="Heading1"/>
    <w:rsid w:val="001E32AD"/>
    <w:rPr>
      <w:b/>
      <w:sz w:val="24"/>
    </w:rPr>
  </w:style>
  <w:style w:type="character" w:customStyle="1" w:styleId="Heading2Char">
    <w:name w:val="Heading 2 Char"/>
    <w:basedOn w:val="DefaultParagraphFont"/>
    <w:link w:val="Heading2"/>
    <w:rsid w:val="001E32AD"/>
    <w:rPr>
      <w:b/>
      <w:sz w:val="24"/>
    </w:rPr>
  </w:style>
  <w:style w:type="character" w:customStyle="1" w:styleId="Heading5Char">
    <w:name w:val="Heading 5 Char"/>
    <w:basedOn w:val="DefaultParagraphFont"/>
    <w:link w:val="Heading5"/>
    <w:rsid w:val="001E32AD"/>
    <w:rPr>
      <w:b/>
      <w:sz w:val="24"/>
      <w:szCs w:val="24"/>
    </w:rPr>
  </w:style>
  <w:style w:type="character" w:customStyle="1" w:styleId="Heading6Char">
    <w:name w:val="Heading 6 Char"/>
    <w:basedOn w:val="DefaultParagraphFont"/>
    <w:link w:val="Heading6"/>
    <w:rsid w:val="001E32AD"/>
    <w:rPr>
      <w:b/>
      <w:sz w:val="24"/>
      <w:szCs w:val="24"/>
    </w:rPr>
  </w:style>
  <w:style w:type="character" w:customStyle="1" w:styleId="Heading7Char">
    <w:name w:val="Heading 7 Char"/>
    <w:basedOn w:val="DefaultParagraphFont"/>
    <w:link w:val="Heading7"/>
    <w:rsid w:val="001E32AD"/>
    <w:rPr>
      <w:b/>
      <w:sz w:val="24"/>
      <w:szCs w:val="24"/>
    </w:rPr>
  </w:style>
  <w:style w:type="character" w:customStyle="1" w:styleId="Heading8Char">
    <w:name w:val="Heading 8 Char"/>
    <w:basedOn w:val="DefaultParagraphFont"/>
    <w:link w:val="Heading8"/>
    <w:rsid w:val="001E32AD"/>
    <w:rPr>
      <w:b/>
      <w:i/>
      <w:sz w:val="24"/>
      <w:szCs w:val="24"/>
    </w:rPr>
  </w:style>
  <w:style w:type="character" w:customStyle="1" w:styleId="Heading9Char">
    <w:name w:val="Heading 9 Char"/>
    <w:basedOn w:val="DefaultParagraphFont"/>
    <w:link w:val="Heading9"/>
    <w:rsid w:val="001E32AD"/>
    <w:rPr>
      <w:sz w:val="18"/>
      <w:szCs w:val="24"/>
    </w:rPr>
  </w:style>
  <w:style w:type="character" w:customStyle="1" w:styleId="TitleChar">
    <w:name w:val="Title Char"/>
    <w:basedOn w:val="DefaultParagraphFont"/>
    <w:link w:val="Title"/>
    <w:rsid w:val="001E32AD"/>
    <w:rPr>
      <w:rFonts w:ascii="Arial" w:hAnsi="Arial" w:cs="Arial"/>
      <w:b/>
      <w:bCs/>
      <w:kern w:val="28"/>
      <w:sz w:val="32"/>
      <w:szCs w:val="32"/>
    </w:rPr>
  </w:style>
  <w:style w:type="paragraph" w:styleId="ListParagraph">
    <w:name w:val="List Paragraph"/>
    <w:basedOn w:val="Normal"/>
    <w:uiPriority w:val="34"/>
    <w:qFormat/>
    <w:rsid w:val="001E32AD"/>
    <w:pPr>
      <w:ind w:left="720"/>
      <w:contextualSpacing/>
    </w:pPr>
  </w:style>
  <w:style w:type="paragraph" w:customStyle="1" w:styleId="StyleHeading114ptItalic">
    <w:name w:val="Style Heading 1 + 14 pt Italic"/>
    <w:basedOn w:val="Heading1"/>
    <w:rsid w:val="001E32AD"/>
    <w:rPr>
      <w:b w:val="0"/>
      <w:bCs/>
      <w:i/>
      <w:iCs/>
      <w:sz w:val="28"/>
    </w:rPr>
  </w:style>
  <w:style w:type="paragraph" w:customStyle="1" w:styleId="StyleHeading3Georgia">
    <w:name w:val="Style Heading 3 + Georgia"/>
    <w:basedOn w:val="Heading3"/>
    <w:rsid w:val="001E32AD"/>
    <w:rPr>
      <w:rFonts w:ascii="Georgia" w:hAnsi="Georgia"/>
      <w:b w:val="0"/>
      <w:bCs/>
    </w:rPr>
  </w:style>
  <w:style w:type="paragraph" w:customStyle="1" w:styleId="Hidden">
    <w:name w:val="Hidden"/>
    <w:basedOn w:val="basefont"/>
    <w:rsid w:val="001E32AD"/>
    <w:pPr>
      <w:spacing w:after="100" w:afterAutospacing="1"/>
    </w:pPr>
    <w:rPr>
      <w:i/>
      <w:vanish/>
    </w:rPr>
  </w:style>
  <w:style w:type="character" w:customStyle="1" w:styleId="FootnoteTextChar">
    <w:name w:val="Footnote Text Char"/>
    <w:aliases w:val="FN Text Char"/>
    <w:basedOn w:val="DefaultParagraphFont"/>
    <w:link w:val="FootnoteText"/>
    <w:rsid w:val="001E32AD"/>
    <w:rPr>
      <w:rFonts w:cs="Courier"/>
    </w:rPr>
  </w:style>
  <w:style w:type="character" w:customStyle="1" w:styleId="BodyTextChar">
    <w:name w:val="Body Text Char"/>
    <w:basedOn w:val="DefaultParagraphFont"/>
    <w:link w:val="BodyText"/>
    <w:rsid w:val="001E32AD"/>
    <w:rPr>
      <w:sz w:val="24"/>
    </w:rPr>
  </w:style>
  <w:style w:type="paragraph" w:customStyle="1" w:styleId="Quote-Bodytext">
    <w:name w:val="Quote - Body text"/>
    <w:basedOn w:val="BodyText"/>
    <w:qFormat/>
    <w:rsid w:val="001E32A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ech.law.lsu.edu/cases/immunity/harlow.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otech.law.lsu.edu/cases/immunity/ftca_exception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tech.law.lsu.edu/cases/immunity/feres_v_u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otech.law.lsu.edu/cases/immunity/Berkovitz_by_Berkovitz_brief.htm" TargetMode="External"/><Relationship Id="rId4" Type="http://schemas.openxmlformats.org/officeDocument/2006/relationships/webSettings" Target="webSettings.xml"/><Relationship Id="rId9" Type="http://schemas.openxmlformats.org/officeDocument/2006/relationships/hyperlink" Target="http://biotech.law.lsu.edu/cases/immunity/varig.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16</TotalTime>
  <Pages>11</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edward</dc:creator>
  <cp:lastModifiedBy>Edward P Richards</cp:lastModifiedBy>
  <cp:revision>6</cp:revision>
  <dcterms:created xsi:type="dcterms:W3CDTF">2021-03-16T23:22:00Z</dcterms:created>
  <dcterms:modified xsi:type="dcterms:W3CDTF">2021-03-16T23:40:00Z</dcterms:modified>
</cp:coreProperties>
</file>