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3" w:rsidRDefault="00C31223" w:rsidP="00C31223">
      <w:pPr>
        <w:pStyle w:val="Heading1"/>
      </w:pPr>
      <w:r>
        <w:t>Suing the Government</w:t>
      </w:r>
    </w:p>
    <w:p w:rsidR="00AF0FBA" w:rsidRDefault="00AF0FBA" w:rsidP="00012FCE">
      <w:pPr>
        <w:pStyle w:val="Heading2"/>
      </w:pPr>
      <w:r>
        <w:t>General</w:t>
      </w:r>
    </w:p>
    <w:p w:rsidR="00AF0FBA" w:rsidRDefault="00AF0FBA" w:rsidP="00012FCE">
      <w:pPr>
        <w:pStyle w:val="Heading3"/>
      </w:pPr>
      <w:r w:rsidRPr="008F3B97">
        <w:t xml:space="preserve">What is </w:t>
      </w:r>
      <w:r>
        <w:t xml:space="preserve">federal </w:t>
      </w:r>
      <w:r w:rsidRPr="008F3B97">
        <w:t>sovereign immunity?</w:t>
      </w:r>
    </w:p>
    <w:p w:rsidR="00AF0FBA" w:rsidRDefault="00AF0FBA" w:rsidP="00012FCE">
      <w:pPr>
        <w:pStyle w:val="Heading3"/>
      </w:pPr>
      <w:r>
        <w:t>What is the constitutional provision that is seen as the basis of sovereign immunity under the constitution?</w:t>
      </w:r>
    </w:p>
    <w:p w:rsidR="00AF0FBA" w:rsidRPr="008F3B97" w:rsidRDefault="00AF0FBA" w:rsidP="00012FCE">
      <w:pPr>
        <w:pStyle w:val="Heading3"/>
      </w:pPr>
      <w:r>
        <w:t>Prior to the FTCA, what did you have to do to get compensation for negligence tort by a federal government employee?</w:t>
      </w:r>
    </w:p>
    <w:p w:rsidR="00AF0FBA" w:rsidRDefault="00AF0FBA" w:rsidP="00012FCE">
      <w:pPr>
        <w:pStyle w:val="Heading3"/>
      </w:pPr>
      <w:r>
        <w:t>How is sovereign immunity different in Louisiana?</w:t>
      </w:r>
    </w:p>
    <w:p w:rsidR="00AF0FBA" w:rsidRDefault="00AF0FBA" w:rsidP="00012FCE">
      <w:pPr>
        <w:pStyle w:val="Heading3"/>
      </w:pPr>
      <w:r>
        <w:t>How does this difference affect the construction of the federal versus state tort claims act, i.e., how is a statute in dereliction of immunity construed differently from a statute creating immunity?</w:t>
      </w:r>
    </w:p>
    <w:p w:rsidR="00AF0FBA" w:rsidRPr="008F3B97" w:rsidRDefault="00AF0FBA" w:rsidP="00012FCE">
      <w:pPr>
        <w:pStyle w:val="Heading3"/>
      </w:pPr>
      <w:r w:rsidRPr="008F3B97">
        <w:t xml:space="preserve">What </w:t>
      </w:r>
      <w:r>
        <w:t>is the C</w:t>
      </w:r>
      <w:r w:rsidRPr="008F3B97">
        <w:t xml:space="preserve">ourt of </w:t>
      </w:r>
      <w:r>
        <w:t>C</w:t>
      </w:r>
      <w:r w:rsidRPr="008F3B97">
        <w:t>laims</w:t>
      </w:r>
      <w:r>
        <w:t xml:space="preserve"> and what type of claims does it deal with</w:t>
      </w:r>
      <w:r w:rsidRPr="008F3B97">
        <w:t>?</w:t>
      </w:r>
    </w:p>
    <w:p w:rsidR="003773B4" w:rsidRDefault="003773B4" w:rsidP="003773B4">
      <w:pPr>
        <w:pStyle w:val="Heading2"/>
      </w:pPr>
      <w:r>
        <w:t>42 USC 1983</w:t>
      </w:r>
    </w:p>
    <w:p w:rsidR="003773B4" w:rsidRDefault="003773B4" w:rsidP="003773B4">
      <w:pPr>
        <w:pStyle w:val="Heading3"/>
      </w:pPr>
      <w:r>
        <w:t>Why was 42 USC 1983 passed?</w:t>
      </w:r>
    </w:p>
    <w:p w:rsidR="003773B4" w:rsidRDefault="003773B4" w:rsidP="003773B4">
      <w:pPr>
        <w:pStyle w:val="Heading3"/>
      </w:pPr>
      <w:r>
        <w:t xml:space="preserve">What is the legal standard for who you </w:t>
      </w:r>
      <w:r w:rsidR="00AF0FBA">
        <w:t xml:space="preserve">can </w:t>
      </w:r>
      <w:r>
        <w:t>sue under 1983?</w:t>
      </w:r>
    </w:p>
    <w:p w:rsidR="003773B4" w:rsidRDefault="003773B4" w:rsidP="003773B4">
      <w:pPr>
        <w:pStyle w:val="Heading3"/>
      </w:pPr>
      <w:r>
        <w:t>What are 1983 actions called constitutional torts?</w:t>
      </w:r>
    </w:p>
    <w:p w:rsidR="00AF0FBA" w:rsidRDefault="00AF0FBA" w:rsidP="00AF0FBA">
      <w:pPr>
        <w:pStyle w:val="Heading4"/>
      </w:pPr>
      <w:r>
        <w:t>How are constitutional torts different from ordinary torts?</w:t>
      </w:r>
    </w:p>
    <w:p w:rsidR="00F508EF" w:rsidRDefault="00F508EF" w:rsidP="003773B4">
      <w:pPr>
        <w:pStyle w:val="Heading3"/>
      </w:pPr>
      <w:r>
        <w:t>How does the 11</w:t>
      </w:r>
      <w:r w:rsidRPr="00F508EF">
        <w:rPr>
          <w:vertAlign w:val="superscript"/>
        </w:rPr>
        <w:t>th</w:t>
      </w:r>
      <w:r>
        <w:t xml:space="preserve"> Amendment limit the reach of 42 USC 1983?</w:t>
      </w:r>
      <w:bookmarkStart w:id="0" w:name="_GoBack"/>
      <w:bookmarkEnd w:id="0"/>
    </w:p>
    <w:p w:rsidR="003773B4" w:rsidRDefault="003773B4" w:rsidP="003773B4">
      <w:pPr>
        <w:pStyle w:val="Heading3"/>
      </w:pPr>
      <w:r>
        <w:t>What is absolute immunity?</w:t>
      </w:r>
    </w:p>
    <w:p w:rsidR="003773B4" w:rsidRDefault="003773B4" w:rsidP="003773B4">
      <w:pPr>
        <w:pStyle w:val="Heading4"/>
      </w:pPr>
      <w:r>
        <w:t>Why do legislators and judges get absolute immunity under 1983?</w:t>
      </w:r>
    </w:p>
    <w:p w:rsidR="003773B4" w:rsidRDefault="003773B4" w:rsidP="003773B4">
      <w:pPr>
        <w:pStyle w:val="Heading5"/>
      </w:pPr>
      <w:r>
        <w:t>What would be the implications of allowing them to be sued for their laws or decisions?</w:t>
      </w:r>
    </w:p>
    <w:p w:rsidR="003773B4" w:rsidRDefault="003773B4" w:rsidP="003773B4">
      <w:pPr>
        <w:pStyle w:val="Heading5"/>
      </w:pPr>
      <w:r>
        <w:t>What is the federal process for dealing with bad judges?</w:t>
      </w:r>
    </w:p>
    <w:p w:rsidR="003773B4" w:rsidRDefault="003773B4" w:rsidP="003773B4">
      <w:pPr>
        <w:pStyle w:val="Heading3"/>
      </w:pPr>
      <w:r>
        <w:t>What is the legal test for qualified immunity?</w:t>
      </w:r>
    </w:p>
    <w:p w:rsidR="003773B4" w:rsidRDefault="003773B4" w:rsidP="003773B4">
      <w:pPr>
        <w:pStyle w:val="Heading3"/>
      </w:pPr>
      <w:r>
        <w:t>How is qualified immunity different from the discretionary function exception?</w:t>
      </w:r>
    </w:p>
    <w:p w:rsidR="003773B4" w:rsidRDefault="003773B4" w:rsidP="003773B4">
      <w:pPr>
        <w:pStyle w:val="Heading4"/>
      </w:pPr>
      <w:r>
        <w:t>How are they similar?</w:t>
      </w:r>
    </w:p>
    <w:p w:rsidR="003773B4" w:rsidRDefault="003773B4" w:rsidP="003773B4">
      <w:pPr>
        <w:pStyle w:val="Heading4"/>
      </w:pPr>
      <w:r>
        <w:t xml:space="preserve">How are they both children of </w:t>
      </w:r>
      <w:r w:rsidRPr="003773B4">
        <w:rPr>
          <w:i/>
        </w:rPr>
        <w:t>Matthews</w:t>
      </w:r>
      <w:r>
        <w:t>?</w:t>
      </w:r>
    </w:p>
    <w:p w:rsidR="003773B4" w:rsidRDefault="003773B4" w:rsidP="003773B4">
      <w:pPr>
        <w:pStyle w:val="Heading3"/>
      </w:pPr>
      <w:r>
        <w:lastRenderedPageBreak/>
        <w:t>How are state Tort Claims Acts and 1983 complimentary?</w:t>
      </w:r>
    </w:p>
    <w:p w:rsidR="003773B4" w:rsidRDefault="003773B4" w:rsidP="003773B4">
      <w:pPr>
        <w:pStyle w:val="Heading4"/>
      </w:pPr>
      <w:r>
        <w:t>What does this tell us about the different purposes of state Tort Claims Acts and 1983?</w:t>
      </w:r>
    </w:p>
    <w:p w:rsidR="00C31223" w:rsidRPr="008F3B97" w:rsidRDefault="00C31223" w:rsidP="00012FCE">
      <w:pPr>
        <w:pStyle w:val="Heading2"/>
      </w:pPr>
      <w:r>
        <w:t>FTCA</w:t>
      </w:r>
    </w:p>
    <w:p w:rsidR="00C31223" w:rsidRDefault="00C31223" w:rsidP="00012FCE">
      <w:pPr>
        <w:pStyle w:val="Heading3"/>
      </w:pPr>
      <w:r>
        <w:t>What sort of actions does the FTCA cover?</w:t>
      </w:r>
    </w:p>
    <w:p w:rsidR="00C31223" w:rsidRDefault="00C31223" w:rsidP="00012FCE">
      <w:pPr>
        <w:pStyle w:val="Heading4"/>
      </w:pPr>
      <w:r w:rsidRPr="008F3B97">
        <w:t xml:space="preserve">What </w:t>
      </w:r>
      <w:r>
        <w:t>causes of action are excluded under the FTCA?</w:t>
      </w:r>
    </w:p>
    <w:p w:rsidR="00C31223" w:rsidRDefault="00C31223" w:rsidP="00012FCE">
      <w:pPr>
        <w:pStyle w:val="Heading4"/>
      </w:pPr>
      <w:r>
        <w:t>Can you collect pre-judgment interest or punitive damages under the FTCA?</w:t>
      </w:r>
      <w:r w:rsidR="003773B4">
        <w:t xml:space="preserve"> (Forget about old death cases.)</w:t>
      </w:r>
    </w:p>
    <w:p w:rsidR="00C31223" w:rsidRDefault="00C31223" w:rsidP="00012FCE">
      <w:pPr>
        <w:pStyle w:val="Heading4"/>
      </w:pPr>
      <w:r>
        <w:t>Where do you look for law to apply in a FTCA case?</w:t>
      </w:r>
    </w:p>
    <w:p w:rsidR="00372DDB" w:rsidRPr="00372DDB" w:rsidRDefault="00372DDB" w:rsidP="00372DDB">
      <w:pPr>
        <w:pStyle w:val="Heading3"/>
      </w:pPr>
      <w:r>
        <w:rPr>
          <w:i/>
        </w:rPr>
        <w:t>Bivens</w:t>
      </w:r>
    </w:p>
    <w:p w:rsidR="00C31223" w:rsidRDefault="00FC2560" w:rsidP="00FC2560">
      <w:pPr>
        <w:pStyle w:val="Heading4"/>
      </w:pPr>
      <w:r>
        <w:t xml:space="preserve">How does </w:t>
      </w:r>
      <w:r w:rsidR="00C31223" w:rsidRPr="00FC2560">
        <w:rPr>
          <w:i/>
        </w:rPr>
        <w:t>Bivens</w:t>
      </w:r>
      <w:r>
        <w:t xml:space="preserve"> plug a hole in the original FTCA</w:t>
      </w:r>
      <w:r w:rsidR="00C31223">
        <w:t>?</w:t>
      </w:r>
      <w:r>
        <w:t xml:space="preserve"> (What actions does it cover that were excluded in the original FTCA?)</w:t>
      </w:r>
    </w:p>
    <w:p w:rsidR="00E865AC" w:rsidRDefault="00E865AC" w:rsidP="00012FCE">
      <w:pPr>
        <w:pStyle w:val="Heading4"/>
      </w:pPr>
      <w:r>
        <w:rPr>
          <w:i/>
        </w:rPr>
        <w:t xml:space="preserve">Bivens </w:t>
      </w:r>
      <w:r>
        <w:t xml:space="preserve">was passed in 1971. </w:t>
      </w:r>
      <w:r w:rsidR="00C31223">
        <w:t xml:space="preserve">Why </w:t>
      </w:r>
      <w:r>
        <w:t>is it the logical extension of the Warren Court’s individual liberties decisions?</w:t>
      </w:r>
    </w:p>
    <w:p w:rsidR="00C31223" w:rsidRDefault="00C31223" w:rsidP="00012FCE">
      <w:pPr>
        <w:pStyle w:val="Heading4"/>
      </w:pPr>
      <w:r>
        <w:t xml:space="preserve">How </w:t>
      </w:r>
      <w:r w:rsidR="00E865AC">
        <w:t xml:space="preserve">was </w:t>
      </w:r>
      <w:r>
        <w:t xml:space="preserve">the FTCA amended after </w:t>
      </w:r>
      <w:r w:rsidRPr="00372DDB">
        <w:rPr>
          <w:i/>
        </w:rPr>
        <w:t>Bivens</w:t>
      </w:r>
      <w:r>
        <w:t>?</w:t>
      </w:r>
    </w:p>
    <w:p w:rsidR="00C31223" w:rsidRPr="008F3B97" w:rsidRDefault="00C31223" w:rsidP="00012FCE">
      <w:pPr>
        <w:pStyle w:val="Heading4"/>
      </w:pPr>
      <w:r>
        <w:t>Who can you now sue under the FTCA for intentional torts</w:t>
      </w:r>
      <w:r w:rsidR="006C1390">
        <w:t xml:space="preserve"> such as battery and assault</w:t>
      </w:r>
      <w:r>
        <w:t>?</w:t>
      </w:r>
    </w:p>
    <w:p w:rsidR="00FC2560" w:rsidRDefault="00FC2560" w:rsidP="00012FCE">
      <w:pPr>
        <w:pStyle w:val="Heading3"/>
      </w:pPr>
      <w:r>
        <w:t>Filing an FTCA claim</w:t>
      </w:r>
    </w:p>
    <w:p w:rsidR="00C31223" w:rsidRDefault="00C31223" w:rsidP="00FC2560">
      <w:pPr>
        <w:pStyle w:val="Heading4"/>
      </w:pPr>
      <w:r>
        <w:t>What is the procedural prerequisite before going to court under the FTCA?</w:t>
      </w:r>
    </w:p>
    <w:p w:rsidR="00FC2560" w:rsidRDefault="00FC2560" w:rsidP="00012FCE">
      <w:pPr>
        <w:pStyle w:val="Heading4"/>
      </w:pPr>
      <w:r>
        <w:t>What is the prescription/statute of limitations period for an FTCA claim?</w:t>
      </w:r>
    </w:p>
    <w:p w:rsidR="002A4E92" w:rsidRDefault="002A4E92" w:rsidP="00012FCE">
      <w:pPr>
        <w:pStyle w:val="Heading4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:rsidR="00C31223" w:rsidRDefault="00C31223" w:rsidP="00012FCE">
      <w:pPr>
        <w:pStyle w:val="Heading4"/>
      </w:pPr>
      <w:r>
        <w:t xml:space="preserve">What is the legal effect if you </w:t>
      </w:r>
      <w:r w:rsidR="002A4E92">
        <w:t>go to court without exhausting these requirements?</w:t>
      </w:r>
    </w:p>
    <w:p w:rsidR="00C31223" w:rsidRDefault="00C31223" w:rsidP="00012FCE">
      <w:pPr>
        <w:pStyle w:val="Heading3"/>
      </w:pPr>
      <w:r>
        <w:t>What is the discretionary function exception?</w:t>
      </w:r>
    </w:p>
    <w:p w:rsidR="00C31223" w:rsidRDefault="00C31223" w:rsidP="00012FCE">
      <w:pPr>
        <w:pStyle w:val="Heading4"/>
      </w:pPr>
      <w:r>
        <w:t>Why is the discretionary function exception necessary to protect the other political and judicial controls on agencies?</w:t>
      </w:r>
    </w:p>
    <w:p w:rsidR="00C31223" w:rsidRDefault="00C31223" w:rsidP="00012FCE">
      <w:pPr>
        <w:pStyle w:val="Heading4"/>
      </w:pPr>
      <w:r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than the </w:t>
      </w:r>
      <w:r>
        <w:t>discretionary function defense?</w:t>
      </w:r>
    </w:p>
    <w:p w:rsidR="00C31223" w:rsidRDefault="00C31223" w:rsidP="00012FCE">
      <w:pPr>
        <w:pStyle w:val="Heading3"/>
      </w:pPr>
      <w:r w:rsidRPr="008F3B97">
        <w:lastRenderedPageBreak/>
        <w:t xml:space="preserve">What does </w:t>
      </w:r>
      <w:r w:rsidRPr="00D42D88">
        <w:rPr>
          <w:i/>
        </w:rPr>
        <w:t>Allen v. United States,</w:t>
      </w:r>
      <w:r w:rsidRPr="00D42D88">
        <w:t xml:space="preserve"> 816 F.2d 1417 (10th Cir. 1987)</w:t>
      </w:r>
      <w:r>
        <w:t xml:space="preserve"> (the Atom Bomb case) tell us about the breadth of the discretionary function exception?</w:t>
      </w:r>
    </w:p>
    <w:p w:rsidR="00C31223" w:rsidRDefault="00C31223" w:rsidP="00012FCE">
      <w:pPr>
        <w:pStyle w:val="Heading4"/>
      </w:pPr>
      <w:r>
        <w:t>Were the plaintiffs intentionally exposed to radioactive fallout?</w:t>
      </w:r>
    </w:p>
    <w:p w:rsidR="00C31223" w:rsidRDefault="00C31223" w:rsidP="00012FCE">
      <w:pPr>
        <w:pStyle w:val="Heading4"/>
      </w:pPr>
      <w:r>
        <w:t>If this were an ordinary tort case, would plaintiffs have won?</w:t>
      </w:r>
    </w:p>
    <w:p w:rsidR="00C31223" w:rsidRDefault="00C31223" w:rsidP="00012FCE">
      <w:pPr>
        <w:pStyle w:val="Heading4"/>
      </w:pPr>
      <w:r>
        <w:t>Why does the discretionary function defense force a different result?</w:t>
      </w:r>
    </w:p>
    <w:p w:rsidR="00C31223" w:rsidRDefault="00C31223" w:rsidP="00012FCE">
      <w:pPr>
        <w:pStyle w:val="Heading4"/>
      </w:pPr>
      <w:r>
        <w:t xml:space="preserve">How does </w:t>
      </w:r>
      <w:r w:rsidR="006C1390">
        <w:t xml:space="preserve">the </w:t>
      </w:r>
      <w:r>
        <w:t xml:space="preserve">shift </w:t>
      </w:r>
      <w:r w:rsidR="002A4E92">
        <w:t xml:space="preserve">from ordinary negligence to discretionary function </w:t>
      </w:r>
      <w:r>
        <w:t>potentially confuse plaintiffs' attorneys</w:t>
      </w:r>
      <w:r w:rsidR="006C1390">
        <w:t>, i.e., why is showing the defendant acted knowingly a problem in FTCA claims but great in most private tort claims</w:t>
      </w:r>
      <w:r>
        <w:t>?</w:t>
      </w:r>
    </w:p>
    <w:p w:rsidR="00C31223" w:rsidRDefault="00C31223" w:rsidP="00012FCE">
      <w:pPr>
        <w:pStyle w:val="Heading3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r w:rsidRPr="009B2934">
        <w:rPr>
          <w:i/>
        </w:rPr>
        <w:t>Varig Airlines</w:t>
      </w:r>
      <w:r>
        <w:t>?</w:t>
      </w:r>
    </w:p>
    <w:p w:rsidR="00C31223" w:rsidRDefault="009B2934" w:rsidP="00012FCE">
      <w:pPr>
        <w:pStyle w:val="Heading4"/>
      </w:pPr>
      <w:r>
        <w:t>On following regulations?</w:t>
      </w:r>
    </w:p>
    <w:p w:rsidR="00C31223" w:rsidRDefault="00C31223" w:rsidP="00012FCE">
      <w:pPr>
        <w:pStyle w:val="Heading4"/>
      </w:pPr>
      <w:r>
        <w:t>On drafting r</w:t>
      </w:r>
      <w:r w:rsidR="009B2934">
        <w:t>egulations to allow flexibility?</w:t>
      </w:r>
    </w:p>
    <w:p w:rsidR="000C3EE1" w:rsidRPr="000C3EE1" w:rsidRDefault="000C3EE1" w:rsidP="00012FCE">
      <w:pPr>
        <w:pStyle w:val="Heading3"/>
      </w:pPr>
      <w:r w:rsidRPr="000C3EE1">
        <w:rPr>
          <w:i/>
        </w:rPr>
        <w:t>Gregor</w:t>
      </w:r>
    </w:p>
    <w:p w:rsidR="000C3EE1" w:rsidRDefault="000C3EE1" w:rsidP="000C3EE1">
      <w:pPr>
        <w:pStyle w:val="Heading4"/>
      </w:pPr>
      <w:r>
        <w:t>What was the alleged negligence by the DHH inspector?</w:t>
      </w:r>
    </w:p>
    <w:p w:rsidR="00C31223" w:rsidRDefault="000C3EE1" w:rsidP="000C3EE1">
      <w:pPr>
        <w:pStyle w:val="Heading4"/>
      </w:pPr>
      <w:r>
        <w:t xml:space="preserve">How did DHH try to defend this with the </w:t>
      </w:r>
      <w:r w:rsidR="00C31223" w:rsidRPr="008F3B97">
        <w:t xml:space="preserve">discretionary </w:t>
      </w:r>
      <w:r>
        <w:t>function defense?</w:t>
      </w:r>
    </w:p>
    <w:p w:rsidR="000C3EE1" w:rsidRDefault="000C3EE1" w:rsidP="000C3EE1">
      <w:pPr>
        <w:pStyle w:val="Heading4"/>
      </w:pPr>
      <w:r>
        <w:t>Why did the court reject this defense?</w:t>
      </w:r>
    </w:p>
    <w:p w:rsidR="000C3EE1" w:rsidRDefault="000C3EE1" w:rsidP="000C3EE1">
      <w:pPr>
        <w:pStyle w:val="Heading4"/>
      </w:pPr>
      <w:r>
        <w:t>Looking at the inspector’s testimony, what did the court find was the real negligence by DHH?</w:t>
      </w:r>
    </w:p>
    <w:p w:rsidR="00AF0FBA" w:rsidRDefault="00AF0FBA" w:rsidP="00AF0FBA">
      <w:pPr>
        <w:pStyle w:val="Heading2"/>
      </w:pPr>
      <w:r>
        <w:t>Flood Control Act of 1928</w:t>
      </w:r>
    </w:p>
    <w:p w:rsidR="00C31223" w:rsidRDefault="00C31223" w:rsidP="00012FCE">
      <w:pPr>
        <w:pStyle w:val="Heading3"/>
      </w:pPr>
      <w:r>
        <w:t>What is the immunity provision of the Flood Control Act of 1928</w:t>
      </w:r>
      <w:r w:rsidR="0045506C">
        <w:t xml:space="preserve"> (FCA)</w:t>
      </w:r>
      <w:r>
        <w:t xml:space="preserve">, i.e., how broad is it? </w:t>
      </w:r>
    </w:p>
    <w:p w:rsidR="00C31223" w:rsidRDefault="00C31223" w:rsidP="00012FCE">
      <w:pPr>
        <w:pStyle w:val="Heading4"/>
      </w:pPr>
      <w:r>
        <w:t>Is it broader than the discretionary authority defense?</w:t>
      </w:r>
    </w:p>
    <w:p w:rsidR="00C31223" w:rsidRDefault="00C31223" w:rsidP="00012FCE">
      <w:pPr>
        <w:pStyle w:val="Heading4"/>
      </w:pPr>
      <w:r>
        <w:t>What if the Corps is negligent in designing or building a levee?</w:t>
      </w:r>
    </w:p>
    <w:p w:rsidR="00C31223" w:rsidRDefault="00C31223" w:rsidP="00012FCE">
      <w:pPr>
        <w:pStyle w:val="Heading4"/>
      </w:pPr>
      <w:r>
        <w:t xml:space="preserve">What if the Corps does not follow statutory standards in building a </w:t>
      </w:r>
      <w:r w:rsidR="00AF0FBA">
        <w:t xml:space="preserve">flood control </w:t>
      </w:r>
      <w:r>
        <w:t>levee?</w:t>
      </w:r>
    </w:p>
    <w:p w:rsidR="00C31223" w:rsidRDefault="00C31223" w:rsidP="00012FCE">
      <w:pPr>
        <w:pStyle w:val="Heading4"/>
      </w:pPr>
      <w:r>
        <w:t>Why is this immunity necessary?</w:t>
      </w:r>
    </w:p>
    <w:p w:rsidR="00C31223" w:rsidRDefault="00C31223" w:rsidP="00012FCE">
      <w:pPr>
        <w:pStyle w:val="Heading4"/>
      </w:pPr>
      <w:r>
        <w:t>What are the risks of giving the Corps this level of immunity?</w:t>
      </w:r>
    </w:p>
    <w:p w:rsidR="00517018" w:rsidRDefault="00517018" w:rsidP="00517018">
      <w:pPr>
        <w:pStyle w:val="Heading4"/>
      </w:pPr>
      <w:r>
        <w:t>Does the Flood Control Act provide for a cause of action - what law gives you jurisdiction to bring a claim against the Corps?</w:t>
      </w:r>
    </w:p>
    <w:p w:rsidR="00C31223" w:rsidRDefault="00C31223" w:rsidP="00012FCE">
      <w:pPr>
        <w:pStyle w:val="Heading4"/>
      </w:pPr>
      <w:r>
        <w:t xml:space="preserve">How </w:t>
      </w:r>
      <w:r w:rsidR="00517018">
        <w:t xml:space="preserve">might </w:t>
      </w:r>
      <w:r>
        <w:t xml:space="preserve">abolishing the Flood Control Act immunity and only allowing the discretionary authority defense affect the </w:t>
      </w:r>
      <w:r w:rsidR="00517018">
        <w:t>C</w:t>
      </w:r>
      <w:r>
        <w:t>orps</w:t>
      </w:r>
      <w:r w:rsidR="00517018">
        <w:t xml:space="preserve"> decisions about flood control projects</w:t>
      </w:r>
      <w:r>
        <w:t>?</w:t>
      </w:r>
    </w:p>
    <w:p w:rsidR="00517018" w:rsidRPr="00517018" w:rsidRDefault="00517018" w:rsidP="00012FCE">
      <w:pPr>
        <w:pStyle w:val="Heading3"/>
        <w:rPr>
          <w:i/>
        </w:rPr>
      </w:pPr>
      <w:r>
        <w:rPr>
          <w:i/>
        </w:rPr>
        <w:lastRenderedPageBreak/>
        <w:t>Graci</w:t>
      </w:r>
    </w:p>
    <w:p w:rsidR="0045506C" w:rsidRDefault="0045506C" w:rsidP="00517018">
      <w:pPr>
        <w:pStyle w:val="Heading4"/>
      </w:pPr>
      <w:r>
        <w:t xml:space="preserve">Why </w:t>
      </w:r>
      <w:r w:rsidR="00517018">
        <w:t xml:space="preserve">did the court find that </w:t>
      </w:r>
      <w:r>
        <w:t xml:space="preserve">FCA immunity </w:t>
      </w:r>
      <w:r w:rsidR="00517018">
        <w:t xml:space="preserve">did not </w:t>
      </w:r>
      <w:r>
        <w:t xml:space="preserve">apply in </w:t>
      </w:r>
      <w:r w:rsidR="00C31223" w:rsidRPr="00F32DFC">
        <w:rPr>
          <w:i/>
        </w:rPr>
        <w:t>Graci</w:t>
      </w:r>
      <w:r>
        <w:t>?</w:t>
      </w:r>
    </w:p>
    <w:p w:rsidR="00517018" w:rsidRDefault="00517018" w:rsidP="00517018">
      <w:pPr>
        <w:pStyle w:val="Heading4"/>
      </w:pPr>
      <w:r>
        <w:t>Why did the government win anyway on remand?</w:t>
      </w:r>
    </w:p>
    <w:p w:rsidR="00517018" w:rsidRPr="00517018" w:rsidRDefault="00517018" w:rsidP="00517018">
      <w:pPr>
        <w:pStyle w:val="Heading3"/>
        <w:rPr>
          <w:i/>
        </w:rPr>
      </w:pPr>
      <w:r w:rsidRPr="00517018">
        <w:rPr>
          <w:i/>
        </w:rPr>
        <w:t>Central Green</w:t>
      </w:r>
    </w:p>
    <w:p w:rsidR="00517018" w:rsidRDefault="00517018" w:rsidP="00517018">
      <w:pPr>
        <w:pStyle w:val="Heading4"/>
      </w:pPr>
      <w:r>
        <w:t xml:space="preserve">What did the </w:t>
      </w:r>
      <w:r>
        <w:rPr>
          <w:i/>
        </w:rPr>
        <w:t>Central Green</w:t>
      </w:r>
      <w:r>
        <w:t xml:space="preserve"> court find was the key question in establishing whether FCA immunity applies in a case?</w:t>
      </w:r>
    </w:p>
    <w:p w:rsidR="00517018" w:rsidRDefault="00517018" w:rsidP="00517018">
      <w:pPr>
        <w:pStyle w:val="Heading4"/>
      </w:pPr>
      <w:r>
        <w:t xml:space="preserve">How does this potentially limit the holding </w:t>
      </w:r>
      <w:r w:rsidR="008B7B5B">
        <w:t xml:space="preserve">in </w:t>
      </w:r>
      <w:r>
        <w:t>the 5</w:t>
      </w:r>
      <w:r w:rsidRPr="00517018">
        <w:rPr>
          <w:vertAlign w:val="superscript"/>
        </w:rPr>
        <w:t>th</w:t>
      </w:r>
      <w:r>
        <w:t xml:space="preserve"> Cir. ruling in </w:t>
      </w:r>
      <w:r w:rsidR="008B7B5B">
        <w:rPr>
          <w:i/>
        </w:rPr>
        <w:t>Graci</w:t>
      </w:r>
      <w:r w:rsidR="008B7B5B">
        <w:t>?</w:t>
      </w:r>
    </w:p>
    <w:p w:rsidR="00F22FAA" w:rsidRDefault="00C31223" w:rsidP="0045506C">
      <w:pPr>
        <w:pStyle w:val="Heading1"/>
      </w:pPr>
      <w:r w:rsidRPr="008F3B97">
        <w:t>End</w:t>
      </w: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23"/>
    <w:rsid w:val="00003CFC"/>
    <w:rsid w:val="00012FCE"/>
    <w:rsid w:val="000433BD"/>
    <w:rsid w:val="000C3EE1"/>
    <w:rsid w:val="000F06B6"/>
    <w:rsid w:val="00120E78"/>
    <w:rsid w:val="00141927"/>
    <w:rsid w:val="001630CC"/>
    <w:rsid w:val="001B6922"/>
    <w:rsid w:val="001C4B62"/>
    <w:rsid w:val="0021233C"/>
    <w:rsid w:val="00223D39"/>
    <w:rsid w:val="002478D0"/>
    <w:rsid w:val="0029086A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662DF3"/>
    <w:rsid w:val="00663A85"/>
    <w:rsid w:val="006A5430"/>
    <w:rsid w:val="006C1390"/>
    <w:rsid w:val="006D264C"/>
    <w:rsid w:val="00782B9C"/>
    <w:rsid w:val="008137B6"/>
    <w:rsid w:val="00823A9F"/>
    <w:rsid w:val="008B7B5B"/>
    <w:rsid w:val="009B2934"/>
    <w:rsid w:val="009D1C69"/>
    <w:rsid w:val="009D39AD"/>
    <w:rsid w:val="00A74E65"/>
    <w:rsid w:val="00AF0FBA"/>
    <w:rsid w:val="00B03ACF"/>
    <w:rsid w:val="00B51B0E"/>
    <w:rsid w:val="00B52302"/>
    <w:rsid w:val="00C31223"/>
    <w:rsid w:val="00C359CB"/>
    <w:rsid w:val="00C85BAD"/>
    <w:rsid w:val="00CB733C"/>
    <w:rsid w:val="00CF4950"/>
    <w:rsid w:val="00DB5066"/>
    <w:rsid w:val="00E65782"/>
    <w:rsid w:val="00E865AC"/>
    <w:rsid w:val="00EC65C6"/>
    <w:rsid w:val="00F22FAA"/>
    <w:rsid w:val="00F508EF"/>
    <w:rsid w:val="00FA248B"/>
    <w:rsid w:val="00FA5B0C"/>
    <w:rsid w:val="00FC2560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8EF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F508EF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F508EF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F508EF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F508EF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F508EF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F508EF"/>
    <w:pPr>
      <w:outlineLvl w:val="5"/>
    </w:pPr>
  </w:style>
  <w:style w:type="paragraph" w:styleId="Heading7">
    <w:name w:val="heading 7"/>
    <w:basedOn w:val="Heading6"/>
    <w:next w:val="BodyText"/>
    <w:qFormat/>
    <w:rsid w:val="00F508EF"/>
    <w:pPr>
      <w:outlineLvl w:val="6"/>
    </w:pPr>
  </w:style>
  <w:style w:type="paragraph" w:styleId="Heading8">
    <w:name w:val="heading 8"/>
    <w:basedOn w:val="Heading7"/>
    <w:next w:val="BodyText"/>
    <w:qFormat/>
    <w:rsid w:val="00F508EF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F508EF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F508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08EF"/>
  </w:style>
  <w:style w:type="character" w:styleId="EndnoteReference">
    <w:name w:val="endnote reference"/>
    <w:rsid w:val="00F508EF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F508EF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F508EF"/>
    <w:pPr>
      <w:jc w:val="center"/>
    </w:pPr>
  </w:style>
  <w:style w:type="character" w:styleId="FootnoteReference">
    <w:name w:val="footnote reference"/>
    <w:rsid w:val="00F508EF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F508EF"/>
    <w:pPr>
      <w:spacing w:after="240"/>
    </w:pPr>
    <w:rPr>
      <w:noProof w:val="0"/>
    </w:rPr>
  </w:style>
  <w:style w:type="paragraph" w:styleId="FootnoteText">
    <w:name w:val="footnote text"/>
    <w:basedOn w:val="Normal"/>
    <w:rsid w:val="00F508EF"/>
    <w:pPr>
      <w:spacing w:after="120"/>
    </w:pPr>
    <w:rPr>
      <w:sz w:val="20"/>
    </w:rPr>
  </w:style>
  <w:style w:type="paragraph" w:styleId="BlockText">
    <w:name w:val="Block Text"/>
    <w:basedOn w:val="Normal"/>
    <w:rsid w:val="00F508EF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F508EF"/>
    <w:rPr>
      <w:vanish/>
    </w:rPr>
  </w:style>
  <w:style w:type="paragraph" w:customStyle="1" w:styleId="Bodytext-Quote">
    <w:name w:val="Body text - Quote"/>
    <w:basedOn w:val="BodyText"/>
    <w:rsid w:val="00F508EF"/>
    <w:pPr>
      <w:ind w:left="720" w:right="720"/>
    </w:pPr>
  </w:style>
  <w:style w:type="paragraph" w:customStyle="1" w:styleId="basefont">
    <w:name w:val="base font"/>
    <w:next w:val="BodyText"/>
    <w:rsid w:val="00F508EF"/>
    <w:rPr>
      <w:noProof/>
      <w:sz w:val="24"/>
    </w:rPr>
  </w:style>
  <w:style w:type="paragraph" w:customStyle="1" w:styleId="MMEmpty">
    <w:name w:val="MM Empty"/>
    <w:basedOn w:val="Normal"/>
    <w:rsid w:val="00F508EF"/>
  </w:style>
  <w:style w:type="paragraph" w:customStyle="1" w:styleId="MMTitle">
    <w:name w:val="MM Title"/>
    <w:basedOn w:val="Title"/>
    <w:rsid w:val="00F508EF"/>
  </w:style>
  <w:style w:type="paragraph" w:styleId="Title">
    <w:name w:val="Title"/>
    <w:basedOn w:val="Normal"/>
    <w:qFormat/>
    <w:rsid w:val="00F508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F508EF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F508EF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F508EF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F508E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508EF"/>
    <w:rPr>
      <w:rFonts w:cs="Times New Roman"/>
      <w:i/>
      <w:iCs/>
    </w:rPr>
  </w:style>
  <w:style w:type="paragraph" w:customStyle="1" w:styleId="FootnoteForm">
    <w:name w:val="Footnote Form"/>
    <w:basedOn w:val="Normal"/>
    <w:rsid w:val="00F508EF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F508EF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F508EF"/>
    <w:pPr>
      <w:ind w:left="240" w:hanging="240"/>
    </w:pPr>
  </w:style>
  <w:style w:type="paragraph" w:styleId="Index2">
    <w:name w:val="index 2"/>
    <w:basedOn w:val="Normal"/>
    <w:next w:val="Normal"/>
    <w:autoRedefine/>
    <w:rsid w:val="00F508EF"/>
    <w:pPr>
      <w:ind w:left="480" w:hanging="240"/>
    </w:pPr>
  </w:style>
  <w:style w:type="paragraph" w:styleId="Index3">
    <w:name w:val="index 3"/>
    <w:basedOn w:val="Normal"/>
    <w:next w:val="Normal"/>
    <w:autoRedefine/>
    <w:rsid w:val="00F508EF"/>
    <w:pPr>
      <w:ind w:left="720" w:hanging="240"/>
    </w:pPr>
  </w:style>
  <w:style w:type="paragraph" w:styleId="Index4">
    <w:name w:val="index 4"/>
    <w:basedOn w:val="Normal"/>
    <w:next w:val="Normal"/>
    <w:autoRedefine/>
    <w:rsid w:val="00F508EF"/>
    <w:pPr>
      <w:ind w:left="960" w:hanging="240"/>
    </w:pPr>
  </w:style>
  <w:style w:type="paragraph" w:styleId="Index5">
    <w:name w:val="index 5"/>
    <w:basedOn w:val="Normal"/>
    <w:next w:val="Normal"/>
    <w:autoRedefine/>
    <w:rsid w:val="00F508EF"/>
    <w:pPr>
      <w:ind w:left="1200" w:hanging="240"/>
    </w:pPr>
  </w:style>
  <w:style w:type="paragraph" w:styleId="Index6">
    <w:name w:val="index 6"/>
    <w:basedOn w:val="Normal"/>
    <w:next w:val="Normal"/>
    <w:autoRedefine/>
    <w:rsid w:val="00F508EF"/>
    <w:pPr>
      <w:ind w:left="1440" w:hanging="240"/>
    </w:pPr>
  </w:style>
  <w:style w:type="paragraph" w:styleId="Index7">
    <w:name w:val="index 7"/>
    <w:basedOn w:val="Normal"/>
    <w:next w:val="Normal"/>
    <w:autoRedefine/>
    <w:rsid w:val="00F508EF"/>
    <w:pPr>
      <w:ind w:left="1680" w:hanging="240"/>
    </w:pPr>
  </w:style>
  <w:style w:type="paragraph" w:styleId="Index8">
    <w:name w:val="index 8"/>
    <w:basedOn w:val="Normal"/>
    <w:next w:val="Normal"/>
    <w:autoRedefine/>
    <w:rsid w:val="00F508EF"/>
    <w:pPr>
      <w:ind w:left="1920" w:hanging="240"/>
    </w:pPr>
  </w:style>
  <w:style w:type="paragraph" w:styleId="Index9">
    <w:name w:val="index 9"/>
    <w:basedOn w:val="Normal"/>
    <w:next w:val="Normal"/>
    <w:autoRedefine/>
    <w:rsid w:val="00F508EF"/>
    <w:pPr>
      <w:ind w:left="2160" w:hanging="240"/>
    </w:pPr>
  </w:style>
  <w:style w:type="paragraph" w:styleId="IndexHeading">
    <w:name w:val="index heading"/>
    <w:basedOn w:val="Normal"/>
    <w:next w:val="Index1"/>
    <w:rsid w:val="00F508EF"/>
    <w:rPr>
      <w:rFonts w:ascii="Arial" w:hAnsi="Arial" w:cs="Arial"/>
      <w:b/>
      <w:bCs/>
    </w:rPr>
  </w:style>
  <w:style w:type="paragraph" w:styleId="NormalWeb">
    <w:name w:val="Normal (Web)"/>
    <w:basedOn w:val="Normal"/>
    <w:rsid w:val="00F508EF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508EF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F50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rsid w:val="00F508EF"/>
  </w:style>
  <w:style w:type="character" w:customStyle="1" w:styleId="Heading3Char">
    <w:name w:val="Heading 3 Char"/>
    <w:link w:val="Heading3"/>
    <w:rsid w:val="00F508EF"/>
    <w:rPr>
      <w:sz w:val="24"/>
      <w:szCs w:val="24"/>
    </w:rPr>
  </w:style>
  <w:style w:type="character" w:customStyle="1" w:styleId="Heading4Char">
    <w:name w:val="Heading 4 Char"/>
    <w:link w:val="Heading4"/>
    <w:rsid w:val="00F508EF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25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Richards</cp:lastModifiedBy>
  <cp:revision>7</cp:revision>
  <dcterms:created xsi:type="dcterms:W3CDTF">2012-04-11T02:10:00Z</dcterms:created>
  <dcterms:modified xsi:type="dcterms:W3CDTF">2012-11-19T00:03:00Z</dcterms:modified>
</cp:coreProperties>
</file>